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43" w:rsidRPr="00FD5A43" w:rsidRDefault="00FD5A43" w:rsidP="00FD5A43">
      <w:pPr>
        <w:spacing w:after="120" w:line="264" w:lineRule="auto"/>
        <w:rPr>
          <w:rFonts w:ascii="Cambria" w:eastAsiaTheme="minorEastAsia" w:hAnsi="Cambria" w:cstheme="minorHAnsi"/>
          <w:b/>
          <w:sz w:val="24"/>
          <w:szCs w:val="24"/>
        </w:rPr>
      </w:pPr>
      <w:r w:rsidRPr="00FD5A43">
        <w:rPr>
          <w:rFonts w:ascii="Cambria" w:eastAsiaTheme="minorEastAsia" w:hAnsi="Cambria" w:cstheme="minorHAnsi"/>
          <w:b/>
          <w:sz w:val="24"/>
          <w:szCs w:val="24"/>
        </w:rPr>
        <w:t>Appendix Table 1. Complete Bibliography of Literature Included in Analysis</w:t>
      </w:r>
    </w:p>
    <w:p w:rsidR="00FD5A43" w:rsidRPr="00FD5A43" w:rsidRDefault="00FD5A43" w:rsidP="00FD5A43">
      <w:pPr>
        <w:spacing w:after="120" w:line="264" w:lineRule="auto"/>
        <w:jc w:val="center"/>
        <w:rPr>
          <w:rFonts w:ascii="Cambria" w:eastAsiaTheme="minorEastAsia" w:hAnsi="Cambria" w:cstheme="minorHAnsi"/>
          <w:sz w:val="24"/>
          <w:szCs w:val="24"/>
        </w:rPr>
      </w:pP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Andrew Jay E, Starkman SJ, Pawlina W, Lachman N. Developing medical students as teachers: an anatomy-based student-as-teacher program with emphasis on core teaching competencies. Anat Sci Educ. 2013 Nov-Dec;6(6):385-92. doi: 10.1002/ase.1364. Epub  2013 Mar 21.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Chung B, Morris SF. Factors influencing prioritization for carpal tunnel syndrome consultation. Can J Plast Surg. 2013 Spring;21(1):33-6.</w:t>
      </w:r>
    </w:p>
    <w:p w:rsidR="00FD5A43" w:rsidRPr="00FD5A43" w:rsidRDefault="00FD5A43" w:rsidP="00FD5A43">
      <w:pPr>
        <w:numPr>
          <w:ilvl w:val="0"/>
          <w:numId w:val="11"/>
        </w:numPr>
        <w:spacing w:after="120" w:line="264" w:lineRule="auto"/>
        <w:ind w:hanging="720"/>
        <w:contextualSpacing/>
        <w:rPr>
          <w:rFonts w:eastAsiaTheme="minorEastAsia"/>
          <w:sz w:val="20"/>
          <w:szCs w:val="20"/>
          <w:lang w:val="fr-CH"/>
        </w:rPr>
      </w:pPr>
      <w:r w:rsidRPr="00FD5A43">
        <w:rPr>
          <w:rFonts w:eastAsiaTheme="minorEastAsia"/>
          <w:sz w:val="20"/>
          <w:szCs w:val="20"/>
        </w:rPr>
        <w:t xml:space="preserve">Legleye S, Bohet A, Razafindratsima N, Bajos N; Fecond Research Team, Moreau C. A randomized trial of survey participation in a national random sample of general practitioners and gynecologists in France. </w:t>
      </w:r>
      <w:r w:rsidRPr="00FD5A43">
        <w:rPr>
          <w:rFonts w:eastAsiaTheme="minorEastAsia"/>
          <w:sz w:val="20"/>
          <w:szCs w:val="20"/>
          <w:lang w:val="fr-CH"/>
        </w:rPr>
        <w:t>Rev Epidemiol Sante Publique. 2014 Aug;62(4):249-55. doi: 10.1016/j.respe.2014.04.007. Epub  2014 Jul 11.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Schneider JI, Mitchell PM, Wilcox AR, Linden JA, Mycyk MB. A senior scholars forum can enhance the scholarship process. Teach Learn Med. 2014;26(2):168-73. doi: 10.1080/10401334.2014.883989.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Joiner AB, Husain N, Duddu V, Chaudhry IB. Medical professionalism education for psychiatry trainees: does it meet standards? Australas Psychiatry. 2015 Feb;23(1):72-5. doi: 10.1177/1039856214563847. Epub  2014 Dec 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Desveaux L, Verrier MC. Physical Therapists' Perceptions of Leadership across the Health Care Continuum: A Brief Report. Physiother Can. 2014 Spring;66(2):119-23. doi: 10.3138/ptc.2013-02.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Plaza AM, Ibáñez MD, Sánchez-Solís M, Bosque-García M, Cabero MJ, Corzo JL, García-Hernández G, de la Hoz B, Korta-Murua J, Sánchez-Salguero C, Torres-Borrego J, Tortajada-Girbés M, Valverde-Molina J, Zapatero L, Nieto A. Consensus-based approach for severe paediatric asthma in routine clinical practice]. An Pediatr (Barc). 2016 Feb;84(2):122.e1-122.e11. doi: 10.1016/j.anpedi.2015.08.015. Epub  2015 Oct 26.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Gladman J, Ryder C, Walters LK. Measuring organisational-level Aboriginal cultural climate to tailor cultural safety strategies. Rural Remote Health. 2015 Oct-Dec;15(4):3050. Epub  2015 Oct 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Davey J, Bryant ST, Dummer PM. The confidence of undergraduate dental students when performing root canal treatment and their perception of the quality of endodontic education. Eur J Dent Educ. 2015 Nov;19(4):229-34. doi: 10.1111/eje.12130. Epub  2014 Dec 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Aslam S, Delgado-Angulo EK, Bernabé E. Perceived learned skills and professional development of graduates from a master in dental public health programme. Eur J Dent Educ. 2015 Aug 14. doi: 10.1111/eje.12167.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Cecil J, McHale C, Hart J, Laidlaw A. Behaviour and burnout in medical students. Med Educ Online. 2014 Aug 25;19:25209. doi: 10.3402/meo.v19.25209. eCollection 2014.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Malik J, Mathieson I. Clinical usage and influence of radiographs in the assessment of hallux valgus. J Foot Ankle Surg. 2013 May-Jun;52(3):291-4. doi: 10.1053/j.jfas.2012.12.005. Epub  2013 Feb 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lang w:val="fr-CH"/>
        </w:rPr>
        <w:t xml:space="preserve">Jacquet GA, Hansoti B, Levine AC, Martin IB. </w:t>
      </w:r>
      <w:r w:rsidRPr="00FD5A43">
        <w:rPr>
          <w:rFonts w:eastAsiaTheme="minorEastAsia"/>
          <w:sz w:val="20"/>
          <w:szCs w:val="20"/>
        </w:rPr>
        <w:t>Career paths and practice patterns of global emergency medicine physicians: a cross-sectional survey. J Emerg Med. 2014 Sep;47(3):348-54. doi: 10.1016/j.jemermed.2014.01.029. Epub  2014 Mar 31.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Spears R, Leite LP, Schnell RA, Dellinges M, Brooks HE, Itaya LE. AEGD programs: why now, why more? J Dent Educ. 2013 Jan;77(1):17-23.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Marshall TA, Straub-Morarend CL, Qian F, Finkelstein MW. Perceptions and practices of dental school faculty regarding evidence-based dentistry. J Dent Educ. 2013 Feb;77(2):146-51.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Puryer J, McNally L, O'Sullivan D. The views of part-time clinical teachers regarding their role in undergraduate education at the University of Bristol Dental School. Br Dent J. 2015 Jan;218(2):79-83. doi: 10.1038/sj.bdj.2015.30.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Thijssen WA, Koetsenruijter J, Giesen P, Wensing M. Emergency departments in The Netherlands: is there a difference in emergency departments with and without emergency physicians? a cross-sectional web-based survey. Int J Emerg Med. 2013 Apr 15;6(1):11. doi: 10.1186/1865-1380-6-11.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Petrosoniak A, Herold J, Woolfrey K. Emergency medicine procedural skills: what are residents missing? CJEM. 2013 Jul;15(4):241-8.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Bernhardsson S, Öberg B, Johansson K, Nilsen P, Larsson ME. Clinical practice in line with evidence? A survey among primary care physiotherapists in western Sweden. J Eval Clin Pract. 2015 Dec;21(6):1169-77. doi: 10.1111/jep.12380. Epub  2015 May 19.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Zueger PM, Katz NL, Popovich NG. Assessing outcomes and perceived benefits of a professional development seminar series. Am J Pharm Educ. 2014 Oct 15;78(8):150. doi: 10.5688/ajpe788150.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Lowry CL, Shah R, Fleming C, Taylor R, Bewley A. A study of service provision in psychocutaneous medicine. Clin Exp Dermatol. 2014 Jan;39(1):13-8. doi: 10.1111/ced.12235.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Essa M, Santo AE, Fleming A, Mitchell D, Abish S. Exploring the attitudes of pediatric oncologists toward the use of laxatives for the prevention of constipation in patients undergoing active treatment: a Canadian perspective. Pediatr Hematol Oncol. 2014 Aug;31(5):448-57. doi: 10.3109/08880018.2013.837129. Epub  2013 Oct 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Brown GM, Lang E, Patel K, McRae A, Chung B, Yoon P, Dong S, Blouin D, Sherbino J, Hicks C, Bandiera G, Meyers C. A National Faculty Development Needs Assessment in Emergency Medicine. CJEM. 2015 Sep 9:1-22.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Hughey AB, Desai N, Baman TS, Gakenheimer L, Hagan L, Kirkpatrick JN, Oral H, Eagle KA, Crawford TC. Heart Rhythm Society members' views on pacemaker and implantable cardioverter-defibrillator reuse. Pacing Clin Electrophysiol. 2014 Aug;37(8):969-77. doi: 10.1111/pace.12418. Epub  2014 May 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Zachek CM, Miller MD, Hsu C, Schiffman JD, Sallan S, Metayer C, Dahl GV. Children's Cancer and Environmental Exposures: Professional Attitudes and Practices. J Pediatr Hematol Oncol. 2015 Oct;37(7):491-7. doi: 10.1097/MPH.0000000000000416.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Rimer R, Hiscock H. National survey of Australian paediatricians' approach to infant crying. J Paediatr Child Health. 2014 Mar;50(3):202-7. doi: 10.1111/jpc.12452. Epub  2013 Dec 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Morawetz DY, Hiscock H, Allen KJ, Davies S, Danchin MH. Management of food allergy: a survey of Australian paediatricians. J Paediatr Child Health. 2014 Jun;50(6):432-7. doi: 10.1111/jpc.12498. Epub  2014 Feb 26.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Boixadós M, Hernández Encuentra E, Nieto Luna R, Huguet A, Aumatell E. Paediatricians' perceptions of a potential online psychosocial intervention for children with recurrent abdominal pain. J Paediatr Child Health. 2014 Jun;50(6):449-54. doi: 10.1111/jpc.12511. Epub  2014 Feb 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Knight S, Harvey A, Towns S, Payne D, Lubitz L, Rowe K, Reveley C, Hennel S, Hiscock H, Scheinberg A. How is paediatric chronic fatigue syndrome/myalgic encephalomyelitis diagnosed and managed by paediatricians? An Australian Paediatric Research Network Study. J Paediatr Child Health. 2014 Dec;50(12):1000-7. doi: 10.1111/jpc.12677. Epub  2014 Jul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Crowe J, Wootten AC, Howard N. Prostate cancer testing: a snapshot of the attitudes and practice of Australian general practitioners. Aust J Prim Health. 2015;21(1):111-4. doi: 10.1071/PY13078.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Helmer RS, Ray SM, Byrd DC. Perceptions of the incorporation of health literacy in pharmacy training programs. J Am Pharm Assoc (2003). 2013 Sep-Oct;53(5):475-81. doi: 10.1331/JAPhA.2013.12195.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Nason GJ, O'Kelly F, Burke MJ, Aslam A, Kelly ME, Akram CM, Giri SK, Flood HD. Paediatric orchidopexy: a need for dedicated paediatric surgical training among urologists? Ir J Med Sci. 2015 Jun;184(2):517-20. doi: 10.1007/s11845-014-1158-4. Epub  2014 Jun 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Blau G, Surges Tatum D, Goldberg CW, Viswanathan K, Karnik S, Aaronson W. Psychiatric rehabilitation practitioner perceptions of frequency and importance of performance domain scales. Psychiatr Rehabil J. 2014 Mar;37(1):24-30. doi: 10.1037/prj0000040.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Liu DB, Palmer B, Herndon CD, Maizels M. Teaching of the Society for Fetal Urology grading system for pediatric hydronephrosis is improved by e-Learning using Computer Enhanced Visual Learning (CEVL): A multi-institutional trial. J Pediatr Urol. 2015 Aug;11(4):184.e1-8. doi: 10.1016/j.jpurol.2015.05.008. Epub  2015 Jun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Cho A, Ball M, Read K, Tharmapoopathy P, Ross AR, Mathur A, Minocha A, Tsang T, Kulkarni M. Educational survey of regional general practitioner's management of paediatric patients with undescended testis. J Pediatr Urol. 2015 Dec 25. pii: S1477-5131(15)00449-0. doi: 10.1016/j.jpurol.2015.11.010.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Shareef MA, Dweik LM, Abudan Z, Gazal AM, Abu-Dawas RB, Chamseddin RA, Albali NH, Ali AA, Khan TA, AlAmodi AA. Research-oriented series: a portal into the culture of biomedical research for junior medical students at Alfaisal University in Saudi Arabia. Adv Physiol Educ. 2015 Mar;39(1):32-8. doi: 10.1152/advan.00148.2013.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Goldstein H, Guerra E, Regier D. Targeted research training: developing minority psychiatric investigators. Acad Psychiatry. 2014 Apr;38(2):191-7. doi: 10.1007/s40596-014-0036-8. Epub  2014 Feb 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Bannister E, Nakonezny P, Byerly M. Curricula for teaching clinical practice guidelines in US psychiatry residency and child and adolescent fellowship programs: a survey study. Acad Psychiatry. 2014 Apr;38(2):198-204. doi: 10.1007/s40596-014-0057-3. Epub  2014 Mar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Nadorlik H, Fleishman C, Brown DW, Miller-Tate H, Lenahan P, Nicholson L, Wheller J, Cua CL. Survey of how pediatric cardiologists noninvasively evaluate patients with hypoplastic left heart syndrome. Congenit Heart Dis. 2015 Mar-Apr;10(2):E73-82. doi: 10.1111/chd.12224. Epub  2014 Sep 30.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Smits M, Keizer E, Huibers L, Giesen P. GPs' experiences with out-of-hours GP cooperatives: a survey study from the Netherlands. Eur J Gen Pract. 2014 Sep;20(3):196-201. doi: 10.3109/13814788.2013.839652. Epub  2013 Oct 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Arbuckle MR, Reardon CL, Young JQ. Residency training in handoffs: a survey of program directors in psychiatry. Acad Psychiatry. 2015 Apr;39(2):132-8. doi: 10.1007/s40596-014-0167-y. Epub  2014 Jul 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Seeleman C, Hermans J, Lamkaddem M, Suurmond J, Stronks K, Essink-Bot ML. A students' survey of cultural competence as a basis for identifying gaps in the medical curriculum. BMC Med Educ. 2014 Oct 11;14:216. doi: 10.1186/1472-6920-14-216.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Egerton-Warburton D, Gosbell A, Moore K, Jelinek GA. Public health in Australasian emergency departments: Attitudes, barriers and current practices. Emerg Med Australas. 2015 Sep 7. doi: 10.1111/1742-6723.12475.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Bibona K, Shroff B, Best AM, Lindauer SJ. Factors affecting orthodontists' management of the retention phase. Angle Orthod. 2014 Mar;84(2):225-30. doi: 10.2319/051313-372.1. Epub  2013 Aug 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Caruso D, Gater D, Harnish C. Prevention of recurrent autonomic dysreflexia: a survey of current practice. Clin Auton Res. 2015 Oct;25(5):293-300. doi: 10.1007/s10286-015-0303-0. Epub  2015 Aug 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Back DA, Behringer F, Harms T, Plener J, Sostmann K, Peters H. Survey of e-learning implementation and faculty support strategies in a cluster of mid-European medical schools. BMC Med Educ. 2015 Sep 3;15:145. doi: 10.1186/s12909-015-0420-4.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Hostiuc S, Buda O, Hostiuc M. Late abortion. Attitudes amongst young physicians in Romania. Arch Gynecol Obstet. 2013 Aug;288(2):431-7. doi: 10.1007/s00404-013-2763-6. Epub  2013 Mar 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Boutis K, Howard A, Constantine E, Cuomo A, Somji Z, Narayanan UG. Evidence into practice: pediatric orthopaedic surgeon use of removable splints for common pediatric fractures. J Pediatr Orthop. 2015 Jan;35(1):18-23. doi: 10.1097/BPO.0000000000000223.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Kaman WE, Andrinopoulou ER, Hays JP. Perceptions of point-of-care infectious disease testing among European medical personnel, point-of-care test kit manufacturers, and the general public. Patient Prefer Adherence. 2013 Jun 19;7:559-77. doi: 10.2147/PPA.S44889. Print  2013.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Desai AA, Knott EM, Alemayehu H, Sherman AK, St Peter SD, Ostlie DJ. Histologic analysis of the hernia sac: current practices based on a survey of IPEG members. J Laparoendosc Adv Surg Tech A. 2014 Sep;24(9):660-3. doi: 10.1089/lap.2014.0023. Epub  2014 Aug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Maheux B, Côté L, Sobanjo O, Authier L, Lajeunesse J, Leclerc M, Lefort L. Collaboration between family physicians and nurse clinicians: opinions of graduates in family medicine. Can Fam Physician. 2014 Aug;60(8):e416-22.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Quang Do V, Li R, Ma M, Pooley C, Trinh C, Peattie L, Palagyi A, McCluskey P, Keay L. Investigating cataract referral practices used by Australian optometrists. Clin Exp Optom. 2014 Jul;97(4):356-63. doi: 10.1111/cxo.12142. Epub  2014 Mar 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Chung EH, Borzabadi-Farahani A, Yen SL. Clinicians and laypeople assessment of facial attractiveness in patients with cleft lip and palate treated with LeFort I surgery or late maxillary protraction. Int J Pediatr Otorhinolaryngol. 2013 Sep;77(9):1446-50. doi: 10.1016/j.ijporl.2013.05.042. Epub  2013 Jul 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Jobs A, Twesten C, Göbel A, Bonnemeier H, Lehnert H, Weitz G. Question-writing as a learning tool for students--outcomes from curricular exams. BMC Med Educ. 2013 Jun 21;13:89. doi: 10.1186/1472-6920-13-89.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García-Layana A, Arias L, Figueroa MS, Araiz J, Ruiz-Moreno JM, García-Arumí J, Gómez-Ulla F, López-Gálvez MI, Cabrera-López F, García-Campos JM, Monés J, Cervera E, Armadá F, Gallego-Pinazo R, Piñero-Bustamante A, Serrano-Garcia MA. A delphi study to detect deficiencies and propose actions in real life treatment of neovascular age-related macular degeneration. J Ophthalmol. 2014;2014:595132. doi: 10.1155/2014/595132. Epub  2014 Dec 21.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Hendry GJ, Gibson KA, Pile K, Taylor L, du Toit V, Burns J, Rome K. Provision of foot health services for people with rheumatoid arthritis in New South Wales: a web-based survey of local podiatrists. J Foot Ankle Res. 2013 Aug 26;6(1):35. doi: 10.1186/1757-1146-6-35.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Khamsy L, Constanthin PE, Sadowski SM, Triponez F. Loss of neuromonitoring signal during bilateral thyroidectomy: no systematic change in operative strategy according to a survey of the French Association of Endocrine Surgeons (AFCE). BMC Surg. 2015 Aug 6;15:95. doi: 10.1186/s12893-015-0082-5.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lang w:val="fr-CH"/>
        </w:rPr>
        <w:t xml:space="preserve">Pagels P, Kindratt TB, Reyna G, Lam K, Silver M, Gimpel NE. </w:t>
      </w:r>
      <w:r w:rsidRPr="00FD5A43">
        <w:rPr>
          <w:rFonts w:eastAsiaTheme="minorEastAsia"/>
          <w:sz w:val="20"/>
          <w:szCs w:val="20"/>
        </w:rPr>
        <w:t>Establishing the need for family medicine training in intimate partner violence screening. J Community Health. 2015 Jun;40(3):508-14. doi: 10.1007/s10900-014-9964-1.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Lansdowne N, Brenton-Rule A, Carroll M, Rome K. Perceived barriers to the management of foot health in patients with rheumatic conditions. J Foot Ankle Res. 2015 Apr 14;8:14. doi: 10.1186/s13047-015-0071-z.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Arthur C, Mahomed K. Intrahepatic cholestasis of pregnancy: diagnosis and management; a survey of Royal Australian and New Zealand College of Obstetrics and Gynaecology fellows. Aust N Z J Obstet Gynaecol. 2014 Jun;54(3):263-7. doi: 10.1111/ajo.12178. Epub  2014 Feb 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Sgroi J, Abbott J. Surgical anatomy in obstetrics and gynaecology: the trainees' perspective. Aust N Z J Obstet Gynaecol. 2014 Apr;54(2):172-6. doi: 10.1111/ajo.12190. Epub  2014 Feb 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Saban KL, Hogan TP, Defrino D, Evans CT, Bauer ED, Pape TL, Steiner M, Proescher EJ, Vlasses FR, Smith BM. Burnout and coping strategies of polytrauma team members caring for veterans with traumatic brain injury. Brain Inj. 2013;27(3):301-9. doi: 10.3109/02699052.2012.743183.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Boosman H, Visser-Meily JM, Winkens I, van Heugten CM. Clinicians' views on learning in brain injury rehabilitation. Brain Inj. 2013 Jun;27(6):685-8. doi: 10.3109/02699052.2013.775504. Epub  2013 Apr 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Sehgal A, Mehta S, Evans N, McNamara PJ. Cardiac sonography by the neonatologist: clinical usefulness and educational perspective. J Ultrasound Med. 2014 Aug;33(8):1401-6. doi: 10.7863/ultra.33.8.1401.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Sommerfeldt M, Bouliane M, Otto D, Rowe BH, Beaupre L. The use of early immobilization in the management of acute soft-tissue injuries of the knee: results of a survey of emergency physicians, sports medicine physicians and orthopedic surgeons. Can J Surg. 2015 Feb;58(1):48-53.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Teo CH, Ng CJ, Ho CC, Tan HM. A consensus on men's health status and policy in Asia: a Delphi survey. Public Health. 2015 Jan;129(1):60-7. doi: 10.1016/j.puhe.2014.11.009. Epub  2014 Dec 24.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Kaur G, Hutchison I, Mehanna H, Williamson P, Shaw R, Tudur Smith C. Barriers to recruitment for surgical trials in head and neck oncology: a survey of trial investigators. BMJ Open. 2013 Apr 11;3(4). pii: e002625. doi: 10.1136/bmjopen-2013-002625. Print  2013.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van Schaik SM, de Vries BS, Weinstein HC, Visser MC, Van den Berg-Vos RM. Practice variation in long-term secondary stroke prevention in The Netherlands .J Stroke Cerebrovasc Dis. 2015 Mar;24(3):566-72. doi: 10.1016/j.jstrokecerebrovasdis.2014.09.031. Epub  2014 Dec 24.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Riley M, Ahmed S, Reed BD, Quint EH. Physician Knowledge and Attitudes around Confidential Care for Minor Patients. J Pediatr Adolesc Gynecol. 2015 Aug;28(4):234-9. doi: 10.1016/j.jpag.2014.08.008. Epub  2014 Aug 17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Walter G, Soh NL, Norgren Jaconelli S, Lampe L, Malhi GS, Hunt G. Medical students' subjective ratings of stress levels and awareness of student support services about mental health. Postgrad Med J. 2013 Jun;89(1052):311-5. doi: 10.1136/postgradmedj-2012-131343. Epub  2013 Mar 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Halvorsen PA, Edwards A, Aaraas IJ, Aasland OG, Kristiansen IS. What professional activities do general practitioners find most meaningful? Cross sectional survey of Norwegian general practitioners. BMC Fam Pract. 2013 Mar 23;14:41. doi: 10.1186/1471-2296-14-41.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Emani S, Ting DY, Healey M, Lipsitz SR, Karson AS, Einbinder JS, Leinen L, Suric V, Bates DW. Physician beliefs about the impact of meaningful use of the EHR: a cross-sectional study. Appl Clin Inform. 2014 Aug 27;5(3):789-801. doi: 10.4338/ACI-2014-05-RA-0050. eCollection 2014.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Ecker J, Horst RT, Koslovsky D. Current Role of Carnoy's Solution in Treating Keratocystic Odontogenic Tumors. J Oral Maxillofac Surg. 2016 Feb;74(2):278-82. doi: 10.1016/j.joms.2015.07.018. Epub  2015 Jul 28.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Topping D. An interprofessional education Russian cultural competence course: Implementation and follow-up perspectives. J Interprof Care. 2015;29(5):501-3. doi: 10.3109/13561820.2015.1012582. Epub  2015 Feb 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Funkhouser E, Fellows JL, Gordan VV, Rindal DB, Foy PJ, Gilbert GH; National Dental Practice-Based Research Network Collaborative Group. Supplementing online surveys with a mailed option to reduce bias and improve response rate: the National Dental Practice-Based Research Network. J Public Health Dent. 2014 Fall;74(4):276-82. doi: 10.1111/jphd.12054. Epub  2014 Apr 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Siddiqui IJ, Luz J, Borg-Stein J, O'Connor K, Bockbrader M, Rainey H, Way D, Colachis S, Bahner DP, Kohler MJ. The Current State of Musculoskeletal Ultrasound Education in Physical Medicine and Rehabilitation Residency Programs. PM R. 2015 Dec 12. pii: S1934-1482(15)01171-5. doi: 10.1016/j.pmrj.2015.11.010.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Punjani N, Lavallée LT, Momoli F, Fergusson D, Witiuk K, Mallick R, Morash C, Cagiannos I, Breau RH. Blood transfusion and hemostatic agents used during radical cystectomy. Can Urol Assoc J. 2013 May-Jun;7(5-6):E275-80. doi: 10.5489/cuaj.1002.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Kantarjian HM, Larson RA, Cortés JE, Deering KL, Mauro MJ. Current practices in the management of chronic myeloid leukemia. Clin Lymphoma Myeloma Leuk. 2013 Feb;13(1):48-54. doi: 10.1016/j.clml.2012.07.009. Epub  2012 Oct 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Eichelberger KY, Bengtson AM, Tolleson-Rinehart S, Menard MK. Training needs in operative obstetrics for maternal-fetal medicine fellows. J Matern Fetal Neonatal Med. 2015 Aug;28(12):1467-70. doi: 10.3109/14767058.2014.957669. Epub  2014 Sep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Yap ES, Koh PL, Ng CH, de Mel S, Chee YL. A Bone Marrow Aspirate and Trephine Simulator. Simul Healthc. 2015 Aug;10(4):245-8. doi: 10.1097/SIH.0000000000000092.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Allroggen M, Kleinrahm R, Rau TA, Weninger L, Ludolph AG, Plener PL. Nonsuicidal self-injury and its relation to personality traits in medical students. J Nerv Ment Dis. 2014 Apr;202(4):300-4. doi: 10.1097/NMD.0000000000000122.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Muecke R, Paul M, Conrad C, Stoll C, Muenstedt K, Micke O, Prott FJ, Buentzel J, Huebner J; PRIO (Working Group Prevention and Integrative Oncology of the German Cancer Society). Complementary and Alternative Medicine in Palliative Care: A Comparison of Data From Surveys Among Patients and Professionals. Integr Cancer Ther. 2016 Mar;15(1):10-6. doi: 10.1177/1534735415596423. Epub  2015 Jul 26.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Fitzcharles MA, Ste-Marie PA, Clauw DJ, Jamal S, Karsh J, LeClercq S, McDougall JJ, Shir Y, Shojania K, Walsh Z. Rheumatologists lack confidence in their knowledge of cannabinoids pertaining to the management of rheumatic complaints. BMC Musculoskelet Disord. 2014 Jul 30;15:258. doi: 10.1186/1471-2474-15-258.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Richardson JE, Kern LM, Silver M, Jung HY, Kaushal R; with the HITEC Investigators. Physician Satisfaction in Practices That Transformed Into Patient-Centered Medical Homes: A Statewide Study in New York. Am J Med Qual. 2015 Apr 15. pii: 1062860615581654.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Berman L, Kabre R, Kazak A, Hicks B, Luks F. Exposure to prenatal consultation during pediatric surgery residency: Implications for training. J Pediatr Surg. 2016 Jan;51(1):131-6. doi: 10.1016/j.jpedsurg.2015.10.030. Epub  2015 Oct 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Lee M, Reinertsen E, McClure E, Liu S, Kruper L, Tanna N, Brian Boyd J, Granzow JW. Surgeon motivations behind the timing of breast reconstruction in patients requiring postmastectomy radiation therapy .J Plast Reconstr Aesthet Surg. 2015 Nov;68(11):1536-42. doi: 10.1016/j.bjps.2015.06.026. Epub  2015 Jun 30.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Chun R, Preciado D, Brown DJ, Elluru R, Ishman SL, Kerschner J, Richter GT, Sulman C. Choosing a fellow or fellowship: a survey of pediatric otolaryngologists. JAMA Otolaryngol Head Neck Surg. 2014 Feb;140(2):102-5. doi: 10.1001/jamaoto.2013.5859.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Ussher JM, Cummings J, Dryden A, Perz J. Talking about fertility in the context of cancer: health care professional perspectives. Eur J Cancer Care (Engl). 2016 Jan;25(1):99-111. doi: 10.1111/ecc.12379. Epub  2015 Sep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Ng VK1, Burke CA, Narula A. Knowledge of CanMEDS-Family Medicine roles: survey of Canadian family medicine residents.  Can Fam Physician. 2013 Sep;59(9):e428-34.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Stolker JM, Patel AY, Lim MJ, Hauptman PJ. Estimating the adoption of transcatheter aortic valve replacement by US interventional cardiologists and clinical trialists. Clin Cardiol. 2013 Nov;36(11):691-7. doi: 10.1002/clc.22202. Epub  2013 Aug 27.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Bellamkonda VR, Shokoohi H, Alsaawi A, Ding R, Campbell RL, Liu YT, Boniface KS. Ultrasound credentialing in North American emergency department systems with ultrasound fellowships: a cross-sectional survey. Emerg Med J. 2015 Oct;32(10):804-8. doi: 10.1136/emermed-2014-204112. Epub  2015 Jan 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Anil S, Zawahir MS, Al-Naggar RA. Effectiveness of preventive medicine education and its determinants among medical students in Malaysia. Front Med. 2016 Mar;10(1):91-100. doi: 10.1007/s11684-016-0428-0. Epub  2015 Dec 29.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Schulz AP, Jönsson A, Kasch R, Jettoo P, Bhandari M. Sources of information influencing decision-making in orthopaedic surgery - an international online survey of 1147 orthopaedic surgeons. BMC Musculoskelet Disord. 2013 Mar 14;14:96. doi: 10.1186/1471-2474-14-96.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Rapoport A, Obwanga C, Sirianni G, Librach SL, Husain A. Not just little adults: palliative care physician attitudes toward pediatric patients. J Palliat Med. 2013 Jun;16(6):675-9. doi: 10.1089/jpm.2012.0393. Epub  2013 Feb 27.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Lavakumar M, Gastelum ED, Choo TH, Gerkin JS, Kahn D, Lee S, Nicolson SE, Rosenthal LJ, Schwartz AC, Tobin MB, Wharton RN, Shapiro PA. Parameters of consultee satisfaction with inpatient academic psychiatric consultation services: a multicenter study. Psychosomatics. 2015 May-Jun;56(3):262-7. doi: 10.1016/j.psym.2015.02.004. Epub  2015 Feb 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Wandin H, Lindberg P, Sonnander K. Communication intervention in Rett syndrome: a survey of speech language pathologists in Swedish health services. Disabil Rehabil. 2015;37(15):1324-33. doi: 10.3109/09638288.2014.962109. Epub  2014 Sep 24.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Egle JP, Smeenge DM, Kassem KM, Mittal VK. The Internet School of Medicine: use of electronic resources by medical trainees and the reliability of those resources. J Surg Educ. 2015 Mar-Apr;72(2):316-20. doi: 10.1016/j.jsurg.2014.08.005. Epub  2014 Dec 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Anderson ML, Ogunwale A, Clark BA, Kilpatrick CC, Mach CM. Preferences and Outcomes for Chemotherapy Teaching in a Postgraduate Obstetrics and Gynecology Training Program. J Surg Educ. 2015 Sep-Oct;72(5):936-41. doi: 10.1016/j.jsurg.2015.04.008. Epub  2015 Jun 26.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Stienen JJ, Ottevanger PB, Wennekes L, van de Schans SA, Dekker HM, Blijlevens NM, van der Maazen RW, van Krieken JH, Hermens RP. Delivering high-quality care to patients with a non-Hodgkin's lymphoma: barriers perceived by patients and physicians. Neth J Med. 2014 Jan;72(1):41-8.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Howard AJ, Ferguson M, Wilkinson P, Campbell KL. Involvement in research activities and factors influencing research capacity among dietitians. J Hum Nutr Diet. 2013 Jul;26 Suppl 1:180-7. doi: 10.1111/jhn.12053. Epub  2013 Apr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McBride A, Holle LM, Westendorf C, Sidebottom M, Griffith N, Muller RJ, Hoffman JM. National survey on the effect of oncology drug shortages on cancer care. Am J Health Syst Pharm. 2013 Apr 1;70(7):609-17. doi: 10.2146/ajhp120563.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DeAngelo DJ, Chen L, Guerin A, Styles A, Giguere-Duval P, Wu EQ. Impact of timely switching from imatinib to a second-generation tyrosine kinase inhibitor after 12-month complete cytogenetic response failure: a chart review analysis. Clin Lymphoma Myeloma Leuk. 2014 Jun;14(3):245-51. doi: 10.1016/j.clml.2013.12.002. Epub  2013 Dec 17.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Merel SE, Stafford MM, White AA, Fligner CL, Amory JK, Hagman MM. Providers' beliefs about expressing condolences to the family of a deceased patient: a qualitative and quantitative analysis .J Palliat Med. 2015 Mar;18(3):217-24. doi: 10.1089/jpm.2014.0217. Epub  2014 Dec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Nagakura H, Schneider G, Morris J, Lafferty KA, Palmer CG. Assessing deaf awareness training: knowledge and attitudes of recent genetic counseling graduates .J Genet Couns. 2015 Feb;24(1):104-16. doi: 10.1007/s10897-014-9742-3. Epub  2014 Jul 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Hull D, Davies G, Armour CM. Survey of the Definition of Fetal Viability and the Availability, Indications, and Decision Making Processes for Post-Viability Termination of Pregnancy for Fetal Abnormalities and Health Conditions in Canada. J Genet Couns. 2015 Nov 5.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Cranston M, Semple C, Duckitt R, Vardi M, Lindgren S, Davidson C, Palsson R; European Board of Internal Medicine Competencies Working Group. The practice of internal medicine in Europe: organisation, clinical conditions and procedures. Eur J Intern Med. 2013 Oct;24(7):627-32. doi: 10.1016/j.ejim.2013.08.005. Epub  2013 Sep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Corbelli J, Borrero S, Bonnema R, McNamara M, Kraemer K, Rubio D, Karpov I, McNeil M. Use of the Gail model and breast cancer preventive therapy among three primary care specialties. J Womens Health (Larchmt). 2014 Sep;23(9):746-52. doi: 10.1089/jwh.2014.4742. Epub  2014 Aug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Chandrasekaran D, Menon U, Evans G, Crawford R, Saridogan E, Jacobs C, Tischkowitz M, Brockbank E, Kalsi J, Jurkovic D, Manchanda R. Risk reducing salpingectomy and delayed oophorectomy in high risk women: views of cancer geneticists, genetic counsellors and gynaecological oncologists in the UK. Fam Cancer. 2015 Dec;14(4):521-30. doi: 10.1007/s10689-015-9823-y.</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Finch W, Masood J, Buchholz N, Turney BW, Smith D, Wiseman O. Would You Want to Be the Patient? "Live Surgical Broadcast" or "As-Live Unedited Surgical Broadcast". J Endourol. 2015 Jul;29(7):821-9. doi: 10.1089/end.2014.0580. Epub  2015 Mar 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Holmes LG, Himle MB, Sewell KK, Carbone PS, Strassberg DS, Murphy NA. Addressing sexuality in youth with autism spectrum disorders: current pediatric practices and barriers. J Dev Behav Pediatr. 2014 Apr;35(3):172-8. doi: 10.1097/DBP.0000000000000030.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Zakus P, Gelb AW, Flexman AM. A survey of mentorship among Canadian anesthesiology residents. Can J Anaesth. 2015 Sep;62(9):972-8. doi: 10.1007/s12630-015-0418-8. Epub  2015 Jun 19.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Lesage FX, Berjot S, Altintas E, Paty B. Burnout among occupational physicians: a threat to occupational health systems?--A nationwide cross-sectional survey. Ann Occup Hyg. 2013 Aug;57(7):913-9. doi: 10.1093/annhyg/met013. Epub  2013 Mar 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Zeidan AM, Wellman J, Forde PM, Bolaños-Meade J, Streiff MB. Venous thromboembolism prophylaxis in hematopoietic stem cell transplantation patients: an international web-based survey of healthcare providers. J Thromb Thrombolysis. 2014 May;37(4):524-6. doi: 10.1007/s11239-013-1002-0.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Escoffery C, Hannon P, Maxwell AE, Vu T, Leeman J, Dwyer A, Mason C, Sowles S, Rice K, Gressard L. Assessment of training and technical assistance needs of Colorectal Cancer Control Program Grantees in the U.S. BMC Public Health. 2015 Jan 31;15:49. doi: 10.1186/s12889-015-1386-1.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Ho RC, Mak KK, Tao R, Lu Y, Day JR, Pan F. Views on the peer review system of biomedical journals: an online survey of academics from high-ranking universities. BMC Med Res Methodol. 2013 Jun 7;13:74. doi: 10.1186/1471-2288-13-74.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Yang J1, Han C, Yoon HK, Pae CU, Kim MJ, Park SY, Ahn J. Experiences and barriers to implementation of clinical practice guideline for depression in Korea. BMC Psychiatry. 2013 May 27;13:150. doi: 10.1186/1471-244X-13-150.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Dixit A, Feldman-Winter L, Szucs KA. Frustrated," "depressed," and "devastated" pediatric trainees: US academic medical centers fail to provide adequate workplace breastfeeding support. J Hum Lact. 2015 May;31(2):240-8. doi: 10.1177/0890334414568119. Epub  2015 Jan 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Griffin JD, Guerin A, Chen L, Macalalad AR, Luo J, Ionescu-Ittu R, Wu EQ. Comparing nilotinib with dasatinib as second-line therapies in patients with chronic myelogenous leukemia resistant or intolerant to imatinib -- a retrospective chart review analysis. Curr Med Res Opin. 2013 Jun;29(6):623-31. doi: 10.1185/03007995.2013.789012. Epub  2013 Apr 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Bentele H, Bergsaker MR, Hauge SH, Bjørnholt JV. Vaccination coverage for seasonal influenza among residents and health care workers in Norwegian nursing homes during the 2012/13 season, a cross-sectional study. BMC Public Health. 2014 May 9;14:434. doi: 10.1186/1471-2458-14-434.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Aenishaenslin C, Ravel A, Michel P, Gern L, Milord F, Waaub JP, Bélanger D. From Lyme disease emergence to endemicity: a cross sectional comparative study of risk perceptions in different populations. BMC Public Health. 2014 Dec 18;14:1298. doi: 10.1186/1471-2458-14-1298.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Sewell JL, Telischak KS, Day LW, Kirschner N, Weissman A. Preconsultation exchange in the United States: use, awareness, and attitudes. Am J Manag Care. 2014 Dec 1;20(12):e556-64.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Borschmann R, Patterson S1, Poovendran D, Wilson D, Weaver T. Influences on recruitment to randomised controlled trials in mental health settings in England: a national cross-sectional survey of researchers working for the Mental Health Research Network. BMC Med Res Methodol. 2014 Feb 17;14:23. doi: 10.1186/1471-2288-14-23.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Caughey GE, Kalisch Ellett LM, Wong TY. Development of evidence-based Australian medication-related indicators of potentially preventable hospitalisations: a modified RAND appropriateness method. BMJ Open. 2014 Apr 28;4(4):e004625. doi: 10.1136/bmjopen-2013-004625.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Reisch LM, Carney PA, Oster NV, Weaver DL, Nelson HD, Frederick PD, Elmore JG. Medical malpractice concerns and defensive medicine: a nationwide survey of breast pathologists. Am J Clin Pathol. 2015 Dec;144(6):916-22. doi: 10.1309/AJCP80LYIMOOUJIF.</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Gooneratne H, Lalabekyan B, Clarke S, Burdett E. Perioperative anaesthetic practice for head and neck free tissue transfer -- a UK national survey. Acta Anaesthesiol Scand. 2013 Nov;57(10):1293-300. doi: 10.1111/aas.12180. Epub  2013 Sep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Lindgren S, Pikwer A, Ricksten SE, Åkeson J. Survey of central venous catheterisation practice in Sweden. Acta Anaesthesiol Scand. 2013 Nov;57(10):1237-44. doi: 10.1111/aas.12190. Epub  2013 Sep 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 xml:space="preserve">Costantino C, Mazzucco W, Azzolini E, Baldini C, Bergomi M, Biafiore AD, Bianco M, Borsari L, Cacciari P, Cadeddu C, Camia P, Carluccio E, Conti A, De Waure C, Di Gregori V, Fabiani L, Fallico R, Filisetti B, Flacco ME, Franco E, Furnari R, Galis V, Gallea MR, Gallone MF, Gallone S, Gelatti U, Gilardi F, Giuliani AR, Grillo OC, Lanati N, Mascaretti S, Mattei A, Micò R, Morciano L, Nante N, Napoli G, Nobile CG, Palladino R, Parisi S, Passaro M, Pelissero G, Quarto M, Ricciardi W Romano G, Rustico E, Saponari A, Schioppa FS, Signorelli C, Siliquini R, Trabacchi V, Triassi M, Varetta A, Ziglio A, Zoccali A, Vitale F, Amodio E. Influenza vaccination </w:t>
      </w:r>
      <w:r w:rsidRPr="00FD5A43">
        <w:rPr>
          <w:rFonts w:eastAsiaTheme="minorEastAsia"/>
          <w:sz w:val="20"/>
          <w:szCs w:val="20"/>
        </w:rPr>
        <w:lastRenderedPageBreak/>
        <w:t>coverage among medical residents: an Italian multicenter survey. Hum Vaccin Immunother. 2014;10(5):1204-10. doi: 10.4161/hv.28081. Epub  2014 Mar 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Dassel MW, Daw MA, Adelman MR, Bardsley TR, Kim J, Zurawin RK. Compensation among graduated fellowship in minimally invasive gynecologic surgery fellows. J Minim Invasive Gynecol. 2015 Mar-Apr;22(3):469-74. doi: 10.1016/j.jmig.2014.12.157. Epub  2015 Jan 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Higgins RM, Deal RA, Rinewalt D, Hollinger EF, Janssen I, Poirier J, Austin D, Rendina M, Francescatti A, Myers JA, Millikan KW, Luu MB. The utility of mock oral examinations in preparation for the American Board of Surgery certifying examination. Am J Surg. 2016 Feb;211(2):416-20. doi: 10.1016/j.amjsurg.2015.09.008. Epub  2015 Dec 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McIntyre RS, Weiller E. Real-world determinants of adjunctive antipsychotic prescribing for patients with major depressive disorder and inadequate response to antidepressants: a case review study. Adv Ther. 2015 May;32(5):429-44. doi: 10.1007/s12325-015-0207-3. Epub  2015 May 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Wilson NP, Wilson FP, Neuman M, Epstein A, Bell R, Armstrong K, Murayama K. Determinants of surgical decision making: a national survey. Am J Surg. 2013 Dec;206(6):970-7; discussion 977-8. doi: 10.1016/j.amjsurg.2013.08.018.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McFadden A, Green JM, McLeish J, McCormick F, Williams V, Renfrew MJ. Healthy Start vitamins--a missed opportunity: findings of a multimethod study. BMJ Open. 2015 Jan 8;5(1):e006917. doi: 10.1136/bmjopen-2014-006917.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Matthews K, Owers E, Palmer M. Agreement between student dietitians' identification of refeeding syndrome risk with refeeding guidelines, electrolytes and other dietitians: a pilot study. J Hum Nutr Diet. 2015 Dec;28(6):697-704. doi: 10.1111/jhn.12281. Epub  2014 Oct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Folio LR, Nelson CJ, Benjamin M, Ran A, Engelhard G, Bluemke DA. Quantitative Radiology Reporting in Oncology: Survey of Oncologists and Radiologists. AJR Am J Roentgenol. 2015 Sep;205(3):W233-43. doi: 10.2214/AJR.14.14054.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Wandner LD, Heft MW, Lok BC, Hirsh AT, George SZ, Horgas AL, Atchison JW, Torres CA, Robinson ME. The impact of patients' gender, race, and age on health care professionals' pain management decisions: an online survey using virtual human technology. Int J Nurs Stud. 2014 May;51(5):726-33. doi: 10.1016/j.ijnurstu.2013.09.011. Epub  2013 Sep 29.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Rubin Z, Blackham K. The state of radiologic teaching practice in preclinical medical education: survey of American medical, osteopathic, and podiatric schools. J Am Coll Radiol. 2015 Apr;12(4):403-8. doi: 10.1016/j.jacr.2014.11.010. Epub  2015 Jan 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Velan GM, Goergen SK, Grimm J, Shulruf B. Impact of Interactive e-Learning Modules on Appropriateness of Imaging Referrals: A Multicenter, Randomized, Crossover Study. J Am Coll Radiol. 2015 Nov;12(11):1207-14. doi: 10.1016/j.jacr.2015.06.026. Epub  2015 Sep 28.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bookmarkStart w:id="0" w:name="_Hlk30192403"/>
      <w:r w:rsidRPr="00FD5A43">
        <w:rPr>
          <w:rFonts w:eastAsiaTheme="minorEastAsia"/>
          <w:sz w:val="20"/>
          <w:szCs w:val="20"/>
        </w:rPr>
        <w:t>Arleo EK, Bluth E, Francavilla M, Straus CM, Reddy S, Recht M. Surveying Fourth-Year Medical Students Regarding the Choice of Diagnostic Radiology as a Specialty. J Am Coll Radiol. 2016 Feb;13(2):188-95. doi: 10.1016/j.jacr.2015.08.005. Epub  2015 Oct 21.</w:t>
      </w:r>
    </w:p>
    <w:bookmarkEnd w:id="0"/>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DeLong MR, Hughes DB, Tandon VJ, Choi BD, Zenn MR. Factors influencing fellowship selection, career trajectory, and academic productivity among plastic surgeons. Plast Reconstr Surg. 2014 Mar;133(3):730-6. doi: 10.1097/01.prs.0000438043.98762.51.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Chang DF, Braga-Mele R, Henderson BA, Mamalis N, Vasavada A; ASCRS Cataract Clinical Committee. Antibiotic prophylaxis of postoperative endophthalmitis after cataract surgery: Results of the 2014 ASCRS member survey. J Cataract Refract Surg. 2015 Jun;41(6):1300-5. doi: 10.1016/j.jcrs.2015.01.014.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Loheswaran G, Soklaridis S, Selby P, Le Foll B. Screening and Treatment for Alcohol, Tobacco and Opioid Use Disorders: A Survey of Family Physicians across Ontario. PLoS One. 2015 Apr 29;10(4):e0124402. doi: 10.1371/journal.pone.0124402.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Cunningham CT, Quan H, Hemmelgarn B, Noseworthy T, Beck CA, Dixon E, Samuel S, Ghali WA, Sykes LL, Jetté N. Exploring physician specialist response rates to web-based surveys. BMC Med Res Methodol. 2015 Apr 9;15:32. doi: 10.1186/s12874-015-0016-z</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Atashroo DA, Luan A, Vyas KS, Zielins ER, Maan Z, Duscher D, Walmsley GG, Lynch MP, Davenport DL, Wan DC, Longaker MT, Vasconez HC. What Makes a Plastic Surgery Residency Program Attractive? An Applicant's Perspective. Plast Reconstr Surg. 2015 Jul;136(1):189-96. doi: 10.1097/PRS.0000000000001365.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Gagner M, Deitel M, Erickson AL, Crosby RD. Survey on laparoscopic sleeve gastrectomy (LSG) at the Fourth International Consensus Summit on Sleeve Gastrectomy. Obes Surg. 2013 Dec;23(12):2013-7. doi: 10.1007/s11695-013-1040-x.</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Haji FA, Dubrowski A, Drake J, de Ribaupierre S. Needs assessment for simulation training in neuroendoscopy: a Canadian national survey. J Neurosurg. 2013 Feb;118(2):250-7. doi: 10.3171/2012.10.JNS12767. Epub  2012 Dec 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Schievink B, Lambers Heerspink H, Leufkens H, De Zeeuw D, Hoekman J. The use of surrogate endpoints in regulating medicines for cardio-renal disease: opinions of stakeholders. PLoS One. 2014 Sep 30;9(9):e108722. doi: 10.1371/journal.pone.0108722. eCollection 2014.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Waldura JF, Neff S, Dehlendorf C, Goldschmidt RH. Teleconsultation improves primary care clinicians' confidence about caring for HIV. J Gen Intern Med. 2013 Jun;28(6):793-800. doi: 10.1007/s11606-013-2332-5. Epub  2013 Feb 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Chavarri-Guerra Y, St Louis J, Liedke PE, Symecko H, Villarreal-Garza C, Mohar A, Finkelstein DM, Goss PE. Access to care issues adversely affect breast cancer patients in Mexico: oncologists' perspective. BMC Cancer. 2014 Sep 9;14:658. doi: 10.1186/1471-2407-14-658.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Wolcott JF, Terlap HT. Follow-up survey of general dentists to identify characteristics associated with increased referrals to endodontists. J Endod. 2014 Feb;40(2):204-10. doi: 10.1016/j.joen.2013.10.033. Epub  2013 Dec 19.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Schreiber S1, Panés J, Louis E, Holley D, Buch M, Paridaens K. National differences in ulcerative colitis experience and management among patients from five European countries and Canada: an online survey. J Crohns Colitis. 2013 Jul;7(6):497-509. doi: 10.1016/j.crohns.2012.07.027. Epub  2012 Aug 23.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Howard HC, Borry P. Survey of European clinical geneticists on awareness, experiences and attitudes towards direct-to-consumer genetic testing. Genome Med. 2013 May 22;5(5):45. doi: 10.1186/gm449. eCollection 2013.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Piening S, de Graeff PA, Straus SM, Haaijer-Ruskamp FM, Mol PG. The Additional Value of an E-Mail to Inform Healthcare Professionals of a Drug Safety Issue: A Randomized Controlled Trial in the Netherlands. Drug Saf. 2013 Sep;36(9):723-31. doi: 10.1007/s40264-013-0079-x.</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Treweek S, Bonetti D, Maclennan G, Barnett K, Eccles MP, Jones C, Pitts NB, Ricketts IW, Sullivan F, Weal M, Francis JJ. Paper-based and web-based intervention modeling experiments identified the same predictors of general practitioners' antibiotic-prescribing behavior .J Clin Epidemiol. 2014 Mar;67(3):296-304. doi: 10.1016/j.jclinepi.2013.09.015. Epub  2013 Dec 31.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Wells S, Rozenblum R, Park A, Dunn M, Bates DW. Organizational strategies for promoting patient and provider uptake of personal health records. J Am Med Inform Assoc. 2015 Jan;22(1):213-22. doi: 10.1136/amiajnl-2014-003055. Epub  2014 Oct 17.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Smyth AR, Campbell EL. Prescribing practices for intravenous aminoglycosides in UK cystic fibrosis clinics: a questionnaire survey. J Cyst Fibros. 2014 Jul;13(4):424-7. doi: 10.1016/j.jcf.2013.11.007. Epub  2013 Dec 11.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Sears ED, Larson BP, Chung KC. Program director opinions of core competencies in hand surgery training: analysis of differences between plastic and orthopedic surgery accredited programs. Plast Reconstr Surg. 2013 Mar;131(3):582-90. doi: 10.1097/PRS.0b013e31827c6f54.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Likic R, White C, Cinti S, Purkiss J, Fantone J, Chapman C, Bielen L, Francetic I, Engleberg C. Online learning applied to a course on rational therapeutics: an international comparison between final year students of two medical schools. Br J Clin Pharmacol. 2013 Feb;75(2):373-80. doi: 10.1111/j.1365-2125.2012.04370.x.</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Luo XM, Tang JL, Hu YH, Li LM, Wang YL, Wang WZ, Yang L, Ouyang XH, Duan GC. How often are ineffective interventions still used in clinical practice? A cross-sectional survey of 6,272 clinicians in China. PLoS One. 2013;8(3):e52159. doi: 10.1371/journal.pone.0052159. Epub  2013 Mar 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Barret M, Boustiere C, Canard JM, Arpurt JP, Bernardini D, Bulois P, Chaussade S, Heresbach D, Joly I, Lapuelle J, Laugier R, Lesur G, Pienkowski P, Ponchon T, Pujol B, Richard-Molard B, Robaszkiewicz M, Systchenko R, Abbas F, Schott-Pethelaz AM, Cellier C; Société Française d'Endoscopie Digestive. Factors associated with adenoma detection rate and diagnosis of polyps and colorectal cancer during colonoscopy in France: results of a prospective, nationwide survey. PLoS One. 2013 Jul 18;8(7):e68947. doi: 10.1371/journal.pone.0068947. Print  2013.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Engelhardt EG, Pieterse AH, van Duijn-Bakker N, Kroep JR, de Haes HC, Smets EM, Stiggelbout AM. Breast cancer specialists' views on and use of risk prediction models in clinical practice: a mixed methods approach. Acta Oncol. 2015 Mar;54(3):361-7. doi: 10.3109/0284186X.2014.964810. Epub  2014 Oct 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Batch Y, Yusof MM, Noah SA. ICDTag: a prototype for a web-based system for organizing physician-written blog posts using a hybrid taxonomy-folksonomy approach. J Med Internet Res. 2013 Feb 27;15(2):e41. doi: 10.2196/jmir.2353.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Lebastchi AH, Yuh DD. Nationwide survey of US integrated 6-year cardiothoracic surgical residents. J Thorac Cardiovasc Surg. 2014 Aug;148(2):401-7. doi: 10.1016/j.jtcvs.2014.03.040. Epub  2014 Mar 27.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Bibault JE, Leroy T, Blanchard P, Biau J, Cervellera M, Diaz O, Faivre JC, Fumagalli I, Lescut N, Martin V, Pichon B, Riou O, Thureau S, Giraud P. Mobile technology and social media in the clinical practice of young radiation oncologists: results of a comprehensive nationwide cross-sectional study. Int J Radiat Oncol Biol Phys. 2014 Sep 1;90(1):231-7. doi: 10.1016/j.ijrobp.2014.05.012. Epub  2014 Jun 28.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Tunnecliff J, Ilic D, Morgan P, Keating J, Gaida JE, Clearihan L, Sadasivan S, Davies D, Ganesh S, Mohanty P, Weiner J, Reynolds J, Maloney S. The acceptability among health researchers and clinicians of social media to translate research evidence to clinical practice: mixed-methods survey and interview study. J Med Internet Res. 2015 May 20;17(5):e119. doi: 10.2196/jmir.4347.</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Sánchez Fernández I, Chapman K, Peters JM, Klehm J, Jackson MC, Berg AT, Loddenkemper T. Treatment for continuous spikes and waves during sleep (CSWS): survey on treatment choices in North America. Epilepsia. 2014 Jul;55(7):1099-108. doi: 10.1111/epi.12678. Epub  2014 Jun 10.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Wu TP, Newlove T, Smith L, Vuong CH, Stein JA, Polsky D. The importance of dedicated dermoscopy training during residency: a survey of US dermatology chief residents. J Am Acad Dermatol. 2013 Jun;68(6):1000-5. doi: 10.1016/j.jaad.2012.11.032. Epub  2013 Jan 29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Greene J, Kurtzman ET, Hibbard JH, Overton V. Working under a clinic-level quality incentive: primary care clinicians' perceptions. Ann Fam Med. 2015 May-Jun;13(3):235-41. doi: 10.1370/afm.1779.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Perle JG, Langsam LC, Randel A, Lutchman S, Levine AB, Odland AP, Nierenberg B, Marker CD. Attitudes toward psychological telehealth: current and future clinical psychologists' opinions of internet-based interventions. J Clin Psychol. 2013 Jan;69(1):100-13. doi: 10.1002/jclp.21912. Epub  2012 Sep 13.</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Scheuner MT, Marshall N, Lanto A, Hamilton AB, Oishi S, Lerner B, Lee M, Yano EM. Delivery of clinical genetic consultative services in the Veterans Health Administration. Genet Med. 2014 Aug;16(8):609-19. doi: 10.1038/gim.2013.202. Epub  2014 Feb 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Greenhawt MJ, Vickery BP. Allergist-reported trends in the practice of food allergen oral immunotherapy. J Allergy Clin Immunol Pract. 2015 Jan-Feb;3(1):33-8. doi: 10.1016/j.jaip.2014.06.023. Epub  2014 Oct 29.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Smyth W, Fielding E, Beattie E, Gardner A, Moyle W, Franklin S, Hines S, MacAndrew M. A survey-based study of knowledge of Alzheimer's disease among health care staff. BMC Geriatr. 2013 Jan 2;13:2. doi: 10.1186/1471-2318-13-2.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Wu YP, Rohan JM, Martin S, Hommel K, Greenley RN, Loiselle K, Ambrosino J, Fredericks EM. Pediatric psychologist use of adherence assessments and interventions. J Pediatr Psychol. 2013 Jul;38(6):595-604. doi: 10.1093/jpepsy/jst025. Epub  2013 May 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Jones PR, Brooks JH, Wylie A. Realising the potential for an Olympic legacy; teaching medical students about sport and exercise medicine and exercise prescribing. Br J Sports Med. 2013 Nov;47(17):1090-4. doi: 10.1136/bjsports-2013-092386. Epub  2013 Jun 20.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Volpe T, Boydell KM, Pignatiello A. Attracting Child Psychiatrists to a Televideo Consultation Service: The TeleLink Experience. Int J Telemed Appl. 2013;2013:146858. doi: 10.1155/2013/146858. Epub  2013 Jun 20.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Kim JH, Kim JY, Kwon KY, Lee CM, Jeon TH, Hyun SS. Satisfaction and difficulties of korean family medicine resident training faculty. Korean J Fam Med. 2013 Sep;34(5):357-63. doi: 10.4082/kjfm.2013.34.5.357. Epub  2013 Sep 26.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Dixon DB, Kornblum AP, Steffen LM, Zhou X, Steinberger J. Implementation of lipid screening guidelines in children by primary pediatric providers .J Pediatr. 2014 Mar;164(3):572-6. doi: 10.1016/j.jpeds.2013.10.027. Epub  2013 Nov 16.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Tran K, Tran GT, Fuller R. West Yorkshire Mentor Scheme: teaching and development. Clin Teach. 2014 Feb;11(1):48-52. doi: 10.1111/tct.12058.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Victorson D, Carlozzi NE, Frank S, Beaumont JL, Cheng W, Gorin B, Duh MS, Samuelson D, Tulsky D, Gutierrez S, Nowinski CJ, Mueller A, Shen V, Sung V. Identifying Motor, Emotional-Behavioral, and Cognitive Deficits that Comprise the Triad of HD Symptoms from Patient, Caregiver, and Provider Perspectives. Tremor Other Hyperkinet Mov (N Y). 2014 Apr 14;4:224. doi: 10.7916/D8JW8BWS. eCollection 2014.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Ghosh SK, Corkill MM, Hart HH, Ng KP. Screening for pulmonary arterial hypertension in patients with scleroderma--a New Zealand perspective. N Z Med J. 2014 Aug 15;127(1400):30-8.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Nelson K, Bagnall A, Nesbitt C, Davey P, Mafeld S. Developing cross-specialty endovascular simulation training. Clin Teach. 2014 Oct;11(6):411-5. doi: 10.1111/tct.12174.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Guarino S, Leopardi E, Sorrenti S, De Antoni E, Catania A, Alagaratnam S. Internet-based versus traditional teaching and learning methods. Clin Teach. 2014 Oct;11(6):449-53. doi: 10.1111/tct.12191.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Koelink E, Boutis K. Paediatrician office follow-up of common minor fractures. Paediatr Child Health. 2014 Oct;19(8):407-12.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Julien JS, Lang R, Brown TN, Aldrich MC, Deppen SA, Wu H, Feurer ID, Tarpley M, Hill G, Tarpley J, Beauchamp RD, Grogan EL. Minority Underrepresentation in Academia: Factors Impacting Careers of Surgery Residents. J Racial Ethn Health Disparities. 2014 Dec 1;1(4):238-246.</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Pearce C, Bartlett J, Mcleod A, Eustace P, Amos R, Shearer M. Effectiveness of local support for the adoption of a national programme--a descriptive study. Inform Prim Care. 2014;21(4):171-8. doi: 10.14236/jhi.v21i4.70.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Tasca GA, Sylvestre J, Balfour L, Chyurlia L, Evans J, Fortin-Langelier B, Francis K, Gandhi J, Huehn L, Hunsley J, Joyce AS, Kinley J, Koszycki D, Leszcz M, Lybanon-Daigle V, Mercer D, Ogrodniczuk JS, Presniak M, Ravitz P, Ritchie K, Talbot J, Wilson B. What clinicians want: findings from a psychotherapy practice research network survey. Psychotherapy (Chic). 2015 Mar;52(1):1-11. doi: 10.1037/a0038252. Epub  2014 Dec 22.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Pugh ME, Hemnes AR, Trammell A, Newman JH, Robbins IM. Variability in hemodynamic evaluation of pulmonary hypertension at large referral centers. Pulm Circ. 2014 Dec;4(4):679-84. doi: 10.1086/678514.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Glithro S, Newell D, Burrows L, Hunnisett A, Cunliffe C. Public health engagement: detection of suspicious skin lesions, screening and referral behaviour of UK based chiropractors. Chiropr Man Therap. 2015 Jan 23;23(1):5. doi: 10.1186/s12998-014-0047-2.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lastRenderedPageBreak/>
        <w:t>Dualé C, Gayraud G, Taheri H, Bastien O, Schoeffler P. A French Nationwide Survey on Anesthesiologist-Perceived Barriers to the Use of Epidural and Paravertebral Block in Thoracic Surgery. J Cardiothorac Vasc Anesth. 2015 Aug;29(4):942-9. doi: 10.1053/j.jvca.2014.11.006. Epub  2014 Nov 11.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Larenas Linnemann DE, Medina Ávalos MA, Lozano Sáenz J. How an online survey on the treatment of allergic rhinitis and its impact on asthma (ARIA) detected specialty-specific knowledge-gaps. World Allergy Organ J. 2015 May 19;8(1):18. doi: 10.1186/s40413-015-0064-1.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lang w:val="fr-CH"/>
        </w:rPr>
        <w:t xml:space="preserve">Desmet JM, Fernandes V, des Grottes JM, Spinogatti N, Collart F, Pochet JM, Dratwa M, Goffin E, Nortier JL. </w:t>
      </w:r>
      <w:r w:rsidRPr="00FD5A43">
        <w:rPr>
          <w:rFonts w:eastAsiaTheme="minorEastAsia"/>
          <w:sz w:val="20"/>
          <w:szCs w:val="20"/>
        </w:rPr>
        <w:t>Perceptive barriers to peritoneal dialysis implementation: an opinion poll among the French-speaking Belgian nephrologists. Clin Kidney J. 2013 Jun;6(3):358-62. doi: 10.1093/ckj/sft041. Epub  2013 Apr 28.</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Kang J, Djafari Marbini H, Patel P, Fawcett N, Leaver L. Survey of medical students' use of social media. Clin Teach. 2015 Dec;12(6):373-7. doi: 10.1111/tct.12320. Epub  2015 Jun 14.</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Walker BA. The Acceptance and Use of Virtual Gaming as an Intervention Strategy for Older Adults in Occupational Therapy. Games Health J. 2014 Dec;3(6):333-40. doi: 10.1089/g4h.2014.0062. Epub  2014 Sep 30.</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Sabri N, Sun NZ, Cummings BA, Jayaraman D. The Perceived Effect of Duty Hour Restrictions on Learning Opportunities in the Intensive Care Unit. J Grad Med Educ. 2015 Mar;7(1):48-52. doi: 10.4300/JGME-D-14-00180.1.</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Turini M, Piovesana V, Ruffo P, Ripellino C, Cataldo N. An assessment of chemotherapy-induced nausea and vomiting direct costs in three EU countries. Drugs Context. 2015 Jul 28;4:212285. doi: 10.7573/dic.212285.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Robbins MS, Robertson CE, Ailani J, Levin M, Friedman DI, Dodick DW. Procedural Headache Medicine in Neurology Residency Training: A Survey of US Program Directors. Headache. 2016 Jan;56(1):79-85. doi: 10.1111/head.12695. Epub  2015 Sep 9.</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Rosenfeld EA, Marx J, Terry MA, Stall R, Flatt J, Borrero S, Miller E. Perspectives on expedited partner therapy for chlamydia: a survey of health care providers. Int J STD AIDS. 2015 Oct 6. pii: 0956462415610689. [Epub ahead of print]</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Rosdahl JA, Muir KW. Finding the best glaucoma questionnaire: a qualitative and quantitative evaluation of glaucoma knowledge assessments. Clin Ophthalmol. 2015 Sep 29;9:1845-52. doi: 10.2147/OPTH.S90332. eCollection 2015.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Gallahue FE, Betz AE, Druck J, Jones JS, Burns B, Hern G. Ready for Discharge? A Survey of Discharge Transition-of-Care Education and Evaluation in Emergency Medicine Residency Programs. West J Emerg Med. 2015 Nov;16(6):879-84. doi: 10.5811/westjem.2015.9.27298. Epub  2015 Nov 12.</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Erickson BJ, Harris JD, Fillingham YA, Cvetanovich GL, Bush-Joseph C, Cole BJ, Bach BR Jr, Verma NN. Orthopedic Practice Patterns Relating to Anterior Cruciate Ligament Reconstruction in Elite Athletes. Am J Orthop (Belle Mead NJ). 2015 Dec;44(12):E480-5.</w:t>
      </w:r>
    </w:p>
    <w:p w:rsidR="00FD5A43" w:rsidRPr="00FD5A43" w:rsidRDefault="00FD5A43" w:rsidP="00FD5A43">
      <w:pPr>
        <w:numPr>
          <w:ilvl w:val="0"/>
          <w:numId w:val="11"/>
        </w:numPr>
        <w:spacing w:after="120" w:line="264" w:lineRule="auto"/>
        <w:ind w:hanging="720"/>
        <w:contextualSpacing/>
        <w:rPr>
          <w:rFonts w:eastAsiaTheme="minorEastAsia"/>
          <w:sz w:val="20"/>
          <w:szCs w:val="20"/>
        </w:rPr>
      </w:pPr>
      <w:r w:rsidRPr="00FD5A43">
        <w:rPr>
          <w:rFonts w:eastAsiaTheme="minorEastAsia"/>
          <w:sz w:val="20"/>
          <w:szCs w:val="20"/>
        </w:rPr>
        <w:t>Mannu GS, Bettencourt-Silva JH, Ahmed F, Cunnick G. A Nationwide Cross-Sectional Survey of UK Breast Surgeons' Views on the Management of Ductal Carcinoma In Situ. Int J Breast Cancer. 2015;2015:104231. doi: 10.1155/2015/104231. Epub  2015 Nov 30.</w:t>
      </w:r>
    </w:p>
    <w:p w:rsidR="00FD5A43" w:rsidRPr="00FD5A43" w:rsidRDefault="00FD5A43" w:rsidP="00FD5A43">
      <w:pPr>
        <w:spacing w:after="120" w:line="480" w:lineRule="auto"/>
        <w:rPr>
          <w:rFonts w:ascii="Cambria" w:eastAsiaTheme="minorEastAsia" w:hAnsi="Cambria"/>
          <w:sz w:val="24"/>
          <w:szCs w:val="24"/>
        </w:rPr>
      </w:pPr>
    </w:p>
    <w:p w:rsidR="00FD5A43" w:rsidRPr="00FD5A43" w:rsidRDefault="00FD5A43" w:rsidP="00FD5A43">
      <w:pPr>
        <w:spacing w:after="120" w:line="264" w:lineRule="auto"/>
        <w:rPr>
          <w:rFonts w:ascii="Cambria" w:eastAsiaTheme="minorEastAsia" w:hAnsi="Cambria"/>
          <w:sz w:val="24"/>
          <w:szCs w:val="24"/>
        </w:rPr>
      </w:pPr>
      <w:r w:rsidRPr="00FD5A43">
        <w:rPr>
          <w:rFonts w:ascii="Cambria" w:eastAsiaTheme="minorEastAsia" w:hAnsi="Cambria"/>
          <w:sz w:val="24"/>
          <w:szCs w:val="24"/>
        </w:rPr>
        <w:br w:type="page"/>
      </w:r>
    </w:p>
    <w:p w:rsidR="00FD5A43" w:rsidRPr="00FD5A43" w:rsidRDefault="00FD5A43" w:rsidP="00FD5A43">
      <w:pPr>
        <w:spacing w:after="120" w:line="264" w:lineRule="auto"/>
        <w:rPr>
          <w:rFonts w:ascii="Cambria" w:eastAsia="Times New Roman" w:hAnsi="Cambria" w:cs="Calibri"/>
          <w:b/>
          <w:color w:val="000000"/>
          <w:sz w:val="24"/>
          <w:szCs w:val="24"/>
        </w:rPr>
      </w:pPr>
    </w:p>
    <w:p w:rsidR="00FD5A43" w:rsidRPr="00FD5A43" w:rsidRDefault="00FD5A43" w:rsidP="00FD5A43">
      <w:pPr>
        <w:spacing w:after="120" w:line="264" w:lineRule="auto"/>
        <w:rPr>
          <w:rFonts w:ascii="Cambria" w:eastAsia="Times New Roman" w:hAnsi="Cambria" w:cs="Calibri"/>
          <w:b/>
          <w:color w:val="000000"/>
          <w:sz w:val="24"/>
          <w:szCs w:val="24"/>
        </w:rPr>
      </w:pPr>
    </w:p>
    <w:p w:rsidR="00FD5A43" w:rsidRPr="00FD5A43" w:rsidRDefault="00FD5A43" w:rsidP="00FD5A43">
      <w:pPr>
        <w:spacing w:after="0" w:line="240" w:lineRule="auto"/>
        <w:contextualSpacing/>
        <w:rPr>
          <w:rFonts w:ascii="Cambria" w:eastAsia="Times New Roman" w:hAnsi="Cambria" w:cs="Calibri"/>
          <w:b/>
          <w:color w:val="000000"/>
          <w:sz w:val="24"/>
          <w:szCs w:val="24"/>
        </w:rPr>
      </w:pPr>
      <w:r w:rsidRPr="00FD5A43">
        <w:rPr>
          <w:rFonts w:ascii="Cambria" w:eastAsia="Times New Roman" w:hAnsi="Cambria" w:cs="Calibri"/>
          <w:b/>
          <w:color w:val="000000"/>
          <w:sz w:val="24"/>
          <w:szCs w:val="24"/>
        </w:rPr>
        <w:t>Appendix Table 2. Distribution of transparency Index and component indicators across papers (n=200)</w:t>
      </w:r>
    </w:p>
    <w:p w:rsidR="00FD5A43" w:rsidRPr="00FD5A43" w:rsidRDefault="00FD5A43" w:rsidP="00FD5A43">
      <w:pPr>
        <w:spacing w:after="0" w:line="240" w:lineRule="auto"/>
        <w:contextualSpacing/>
        <w:rPr>
          <w:rFonts w:ascii="Calibri" w:eastAsia="Times New Roman" w:hAnsi="Calibri" w:cs="Calibri"/>
          <w:b/>
          <w:color w:val="000000"/>
          <w:sz w:val="20"/>
          <w:szCs w:val="20"/>
        </w:rPr>
      </w:pPr>
    </w:p>
    <w:tbl>
      <w:tblPr>
        <w:tblStyle w:val="PlainTable4"/>
        <w:tblW w:w="0" w:type="auto"/>
        <w:tblLayout w:type="fixed"/>
        <w:tblLook w:val="04A0" w:firstRow="1" w:lastRow="0" w:firstColumn="1" w:lastColumn="0" w:noHBand="0" w:noVBand="1"/>
      </w:tblPr>
      <w:tblGrid>
        <w:gridCol w:w="5812"/>
        <w:gridCol w:w="1293"/>
        <w:gridCol w:w="1542"/>
      </w:tblGrid>
      <w:tr w:rsidR="00FD5A43" w:rsidRPr="00FD5A43" w:rsidTr="0094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bottom w:val="single" w:sz="4" w:space="0" w:color="auto"/>
            </w:tcBorders>
            <w:shd w:val="clear" w:color="auto" w:fill="auto"/>
          </w:tcPr>
          <w:p w:rsidR="00FD5A43" w:rsidRPr="00FD5A43" w:rsidRDefault="00FD5A43" w:rsidP="00FD5A43">
            <w:pPr>
              <w:contextualSpacing/>
            </w:pPr>
            <w:r w:rsidRPr="00FD5A43">
              <w:t>Component indicators</w:t>
            </w:r>
          </w:p>
          <w:p w:rsidR="00FD5A43" w:rsidRPr="00FD5A43" w:rsidRDefault="00FD5A43" w:rsidP="00FD5A43">
            <w:pPr>
              <w:contextualSpacing/>
              <w:rPr>
                <w:i/>
              </w:rPr>
            </w:pPr>
            <w:r w:rsidRPr="00FD5A43">
              <w:rPr>
                <w:i/>
              </w:rPr>
              <w:t>Whether or not:</w:t>
            </w:r>
          </w:p>
        </w:tc>
        <w:tc>
          <w:tcPr>
            <w:tcW w:w="1293" w:type="dxa"/>
            <w:tcBorders>
              <w:top w:val="single" w:sz="4" w:space="0" w:color="auto"/>
              <w:bottom w:val="single" w:sz="4" w:space="0" w:color="auto"/>
            </w:tcBorders>
            <w:shd w:val="clear" w:color="auto" w:fill="auto"/>
          </w:tcPr>
          <w:p w:rsidR="00FD5A43" w:rsidRPr="00FD5A43" w:rsidRDefault="00FD5A43" w:rsidP="00FD5A43">
            <w:pPr>
              <w:contextualSpacing/>
              <w:jc w:val="center"/>
              <w:cnfStyle w:val="100000000000" w:firstRow="1" w:lastRow="0" w:firstColumn="0" w:lastColumn="0" w:oddVBand="0" w:evenVBand="0" w:oddHBand="0" w:evenHBand="0" w:firstRowFirstColumn="0" w:firstRowLastColumn="0" w:lastRowFirstColumn="0" w:lastRowLastColumn="0"/>
            </w:pPr>
            <w:r w:rsidRPr="00FD5A43">
              <w:t>(N)</w:t>
            </w:r>
          </w:p>
        </w:tc>
        <w:tc>
          <w:tcPr>
            <w:tcW w:w="1542" w:type="dxa"/>
            <w:tcBorders>
              <w:top w:val="single" w:sz="4" w:space="0" w:color="auto"/>
              <w:bottom w:val="single" w:sz="4" w:space="0" w:color="auto"/>
            </w:tcBorders>
            <w:shd w:val="clear" w:color="auto" w:fill="auto"/>
          </w:tcPr>
          <w:p w:rsidR="00FD5A43" w:rsidRPr="00FD5A43" w:rsidRDefault="00FD5A43" w:rsidP="00FD5A43">
            <w:pPr>
              <w:contextualSpacing/>
              <w:jc w:val="center"/>
              <w:cnfStyle w:val="100000000000" w:firstRow="1" w:lastRow="0" w:firstColumn="0" w:lastColumn="0" w:oddVBand="0" w:evenVBand="0" w:oddHBand="0" w:evenHBand="0" w:firstRowFirstColumn="0" w:firstRowLastColumn="0" w:lastRowFirstColumn="0" w:lastRowLastColumn="0"/>
            </w:pPr>
            <w:r w:rsidRPr="00FD5A43">
              <w:t>% of studies</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top w:val="single" w:sz="4" w:space="0" w:color="auto"/>
            </w:tcBorders>
          </w:tcPr>
          <w:p w:rsidR="00FD5A43" w:rsidRPr="00FD5A43" w:rsidRDefault="00FD5A43" w:rsidP="00FD5A43">
            <w:pPr>
              <w:contextualSpacing/>
              <w:jc w:val="right"/>
            </w:pPr>
            <w:r w:rsidRPr="00FD5A43">
              <w:t>sample source was reported</w:t>
            </w:r>
          </w:p>
        </w:tc>
        <w:tc>
          <w:tcPr>
            <w:tcW w:w="1293" w:type="dxa"/>
            <w:tcBorders>
              <w:top w:val="single" w:sz="4" w:space="0" w:color="auto"/>
            </w:tcBorders>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(199)</w:t>
            </w:r>
          </w:p>
        </w:tc>
        <w:tc>
          <w:tcPr>
            <w:tcW w:w="1542" w:type="dxa"/>
            <w:tcBorders>
              <w:top w:val="single" w:sz="4" w:space="0" w:color="auto"/>
            </w:tcBorders>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99.5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type of sample was reported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(196)</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98.0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recruitment procedures were reported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(193)</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96.5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response rates or sample dispositions were reported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(167)</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83.5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a conflict of interest was reported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(160)</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80.0</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conduct of an ethical review was reported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(152)</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76.0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potential measurement error was discussed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(125)</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62.5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study response rates were discussed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(112)</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56.0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use of reminder messages to non-respondents was reported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(111)</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55.5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potential nonresponse error was discussed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(109)</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54.5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a Pilot test (or expert review) was reported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(83)</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41.5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an informed consent was obtained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(51)</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25.5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potential coverage error was discussed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(49)</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24.5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use of respondent incentives was reported</w:t>
            </w:r>
          </w:p>
        </w:tc>
        <w:tc>
          <w:tcPr>
            <w:tcW w:w="1293"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(41)</w:t>
            </w:r>
          </w:p>
        </w:tc>
        <w:tc>
          <w:tcPr>
            <w:tcW w:w="1542" w:type="dxa"/>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20.5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Pr>
          <w:p w:rsidR="00FD5A43" w:rsidRPr="00FD5A43" w:rsidRDefault="00FD5A43" w:rsidP="00FD5A43">
            <w:pPr>
              <w:contextualSpacing/>
              <w:jc w:val="right"/>
            </w:pPr>
            <w:r w:rsidRPr="00FD5A43">
              <w:t>potential processing error was discussed</w:t>
            </w:r>
          </w:p>
        </w:tc>
        <w:tc>
          <w:tcPr>
            <w:tcW w:w="1293"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w:t>
            </w:r>
          </w:p>
        </w:tc>
        <w:tc>
          <w:tcPr>
            <w:tcW w:w="1542" w:type="dxa"/>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0.5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tcBorders>
              <w:bottom w:val="single" w:sz="4" w:space="0" w:color="auto"/>
            </w:tcBorders>
            <w:shd w:val="clear" w:color="auto" w:fill="auto"/>
          </w:tcPr>
          <w:p w:rsidR="00FD5A43" w:rsidRPr="00FD5A43" w:rsidRDefault="00FD5A43" w:rsidP="00FD5A43">
            <w:pPr>
              <w:contextualSpacing/>
            </w:pPr>
          </w:p>
        </w:tc>
        <w:tc>
          <w:tcPr>
            <w:tcW w:w="1293" w:type="dxa"/>
            <w:tcBorders>
              <w:bottom w:val="single" w:sz="4" w:space="0" w:color="auto"/>
            </w:tcBorders>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p>
        </w:tc>
        <w:tc>
          <w:tcPr>
            <w:tcW w:w="1542" w:type="dxa"/>
            <w:tcBorders>
              <w:bottom w:val="single" w:sz="4" w:space="0" w:color="auto"/>
            </w:tcBorders>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3"/>
            <w:tcBorders>
              <w:top w:val="single" w:sz="4" w:space="0" w:color="auto"/>
            </w:tcBorders>
            <w:shd w:val="clear" w:color="auto" w:fill="auto"/>
          </w:tcPr>
          <w:p w:rsidR="00FD5A43" w:rsidRPr="00FD5A43" w:rsidRDefault="00FD5A43" w:rsidP="00FD5A43">
            <w:pPr>
              <w:contextualSpacing/>
            </w:pPr>
            <w:r w:rsidRPr="00FD5A43">
              <w:t>Transparency Index</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Mean</w:t>
            </w:r>
          </w:p>
        </w:tc>
        <w:tc>
          <w:tcPr>
            <w:tcW w:w="2835" w:type="dxa"/>
            <w:gridSpan w:val="2"/>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 xml:space="preserve">8.8  </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(Standard deviation)</w:t>
            </w:r>
          </w:p>
        </w:tc>
        <w:tc>
          <w:tcPr>
            <w:tcW w:w="2835" w:type="dxa"/>
            <w:gridSpan w:val="2"/>
            <w:shd w:val="clear" w:color="auto" w:fill="auto"/>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(2.1)</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Median</w:t>
            </w:r>
          </w:p>
        </w:tc>
        <w:tc>
          <w:tcPr>
            <w:tcW w:w="2835" w:type="dxa"/>
            <w:gridSpan w:val="2"/>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9.0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Mode</w:t>
            </w:r>
          </w:p>
        </w:tc>
        <w:tc>
          <w:tcPr>
            <w:tcW w:w="2835" w:type="dxa"/>
            <w:gridSpan w:val="2"/>
            <w:shd w:val="clear" w:color="auto" w:fill="auto"/>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10.0</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5812" w:type="dxa"/>
            <w:shd w:val="clear" w:color="auto" w:fill="auto"/>
          </w:tcPr>
          <w:p w:rsidR="00FD5A43" w:rsidRPr="00FD5A43" w:rsidRDefault="00FD5A43" w:rsidP="00FD5A43">
            <w:pPr>
              <w:contextualSpacing/>
              <w:jc w:val="right"/>
            </w:pPr>
            <w:r w:rsidRPr="00FD5A43">
              <w:t>(Potential Range)</w:t>
            </w:r>
          </w:p>
        </w:tc>
        <w:tc>
          <w:tcPr>
            <w:tcW w:w="2835" w:type="dxa"/>
            <w:gridSpan w:val="2"/>
            <w:shd w:val="clear" w:color="auto" w:fill="auto"/>
          </w:tcPr>
          <w:p w:rsidR="00FD5A43" w:rsidRPr="00FD5A43" w:rsidRDefault="00FD5A43" w:rsidP="00FD5A43">
            <w:pPr>
              <w:contextualSpacing/>
              <w:jc w:val="center"/>
              <w:cnfStyle w:val="000000000000" w:firstRow="0" w:lastRow="0" w:firstColumn="0" w:lastColumn="0" w:oddVBand="0" w:evenVBand="0" w:oddHBand="0" w:evenHBand="0" w:firstRowFirstColumn="0" w:firstRowLastColumn="0" w:lastRowFirstColumn="0" w:lastRowLastColumn="0"/>
            </w:pPr>
            <w:r w:rsidRPr="00FD5A43">
              <w:t>(0-15)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tcBorders>
              <w:bottom w:val="single" w:sz="4" w:space="0" w:color="auto"/>
            </w:tcBorders>
            <w:shd w:val="clear" w:color="auto" w:fill="auto"/>
          </w:tcPr>
          <w:p w:rsidR="00FD5A43" w:rsidRPr="00FD5A43" w:rsidRDefault="00FD5A43" w:rsidP="00FD5A43">
            <w:pPr>
              <w:contextualSpacing/>
              <w:jc w:val="right"/>
            </w:pPr>
            <w:r w:rsidRPr="00FD5A43">
              <w:t>(Actual Range)</w:t>
            </w:r>
          </w:p>
        </w:tc>
        <w:tc>
          <w:tcPr>
            <w:tcW w:w="2835" w:type="dxa"/>
            <w:gridSpan w:val="2"/>
            <w:tcBorders>
              <w:bottom w:val="single" w:sz="4" w:space="0" w:color="auto"/>
            </w:tcBorders>
            <w:shd w:val="clear" w:color="auto" w:fill="auto"/>
          </w:tcPr>
          <w:p w:rsidR="00FD5A43" w:rsidRPr="00FD5A43" w:rsidRDefault="00FD5A43" w:rsidP="00FD5A43">
            <w:pPr>
              <w:contextualSpacing/>
              <w:jc w:val="center"/>
              <w:cnfStyle w:val="000000100000" w:firstRow="0" w:lastRow="0" w:firstColumn="0" w:lastColumn="0" w:oddVBand="0" w:evenVBand="0" w:oddHBand="1" w:evenHBand="0" w:firstRowFirstColumn="0" w:firstRowLastColumn="0" w:lastRowFirstColumn="0" w:lastRowLastColumn="0"/>
            </w:pPr>
            <w:r w:rsidRPr="00FD5A43">
              <w:t>(2-13)</w:t>
            </w:r>
          </w:p>
        </w:tc>
      </w:tr>
    </w:tbl>
    <w:p w:rsidR="00FD5A43" w:rsidRPr="00FD5A43" w:rsidRDefault="00FD5A43" w:rsidP="00FD5A43">
      <w:pPr>
        <w:spacing w:after="120" w:line="480" w:lineRule="auto"/>
        <w:rPr>
          <w:rFonts w:eastAsiaTheme="minorEastAsia"/>
          <w:sz w:val="20"/>
          <w:szCs w:val="20"/>
        </w:rPr>
      </w:pPr>
    </w:p>
    <w:p w:rsidR="00FD5A43" w:rsidRPr="00FD5A43" w:rsidRDefault="00FD5A43" w:rsidP="00FD5A43">
      <w:pPr>
        <w:spacing w:after="120" w:line="264" w:lineRule="auto"/>
        <w:rPr>
          <w:rFonts w:ascii="Cambria" w:eastAsia="Times New Roman" w:hAnsi="Cambria" w:cs="Calibri"/>
          <w:b/>
          <w:color w:val="000000"/>
          <w:sz w:val="24"/>
          <w:szCs w:val="24"/>
        </w:rPr>
      </w:pPr>
      <w:r w:rsidRPr="00FD5A43">
        <w:rPr>
          <w:rFonts w:ascii="Cambria" w:eastAsia="Times New Roman" w:hAnsi="Cambria" w:cs="Calibri"/>
          <w:b/>
          <w:color w:val="000000"/>
          <w:sz w:val="24"/>
          <w:szCs w:val="24"/>
        </w:rPr>
        <w:br w:type="page"/>
      </w:r>
    </w:p>
    <w:p w:rsidR="00FD5A43" w:rsidRPr="00FD5A43" w:rsidRDefault="00FD5A43" w:rsidP="00FD5A43">
      <w:pPr>
        <w:spacing w:after="0" w:line="240" w:lineRule="auto"/>
        <w:rPr>
          <w:rFonts w:ascii="Cambria" w:eastAsia="Times New Roman" w:hAnsi="Cambria" w:cs="Calibri"/>
          <w:b/>
          <w:color w:val="000000"/>
          <w:sz w:val="24"/>
          <w:szCs w:val="24"/>
        </w:rPr>
      </w:pPr>
      <w:r w:rsidRPr="00FD5A43">
        <w:rPr>
          <w:rFonts w:ascii="Cambria" w:eastAsia="Times New Roman" w:hAnsi="Cambria" w:cs="Calibri"/>
          <w:b/>
          <w:color w:val="000000"/>
          <w:sz w:val="24"/>
          <w:szCs w:val="24"/>
        </w:rPr>
        <w:lastRenderedPageBreak/>
        <w:t>Appendix Table 3. Distribution of transparency Index and component indicators across papers by authorship types</w:t>
      </w:r>
    </w:p>
    <w:p w:rsidR="00FD5A43" w:rsidRPr="00FD5A43" w:rsidRDefault="00FD5A43" w:rsidP="00FD5A43">
      <w:pPr>
        <w:spacing w:after="120" w:line="264" w:lineRule="auto"/>
        <w:ind w:firstLine="720"/>
        <w:rPr>
          <w:rFonts w:eastAsiaTheme="minorEastAsia"/>
          <w:sz w:val="20"/>
          <w:szCs w:val="20"/>
        </w:rPr>
      </w:pPr>
    </w:p>
    <w:tbl>
      <w:tblPr>
        <w:tblStyle w:val="PlainTable4"/>
        <w:tblW w:w="5000" w:type="pct"/>
        <w:tblLook w:val="04A0" w:firstRow="1" w:lastRow="0" w:firstColumn="1" w:lastColumn="0" w:noHBand="0" w:noVBand="1"/>
      </w:tblPr>
      <w:tblGrid>
        <w:gridCol w:w="4477"/>
        <w:gridCol w:w="771"/>
        <w:gridCol w:w="854"/>
        <w:gridCol w:w="777"/>
        <w:gridCol w:w="854"/>
        <w:gridCol w:w="777"/>
        <w:gridCol w:w="850"/>
      </w:tblGrid>
      <w:tr w:rsidR="00FD5A43" w:rsidRPr="00FD5A43" w:rsidTr="00945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Borders>
              <w:top w:val="single" w:sz="4" w:space="0" w:color="auto"/>
            </w:tcBorders>
          </w:tcPr>
          <w:p w:rsidR="00FD5A43" w:rsidRPr="00FD5A43" w:rsidRDefault="00FD5A43" w:rsidP="00FD5A43"/>
        </w:tc>
        <w:tc>
          <w:tcPr>
            <w:tcW w:w="868" w:type="pct"/>
            <w:gridSpan w:val="2"/>
            <w:tcBorders>
              <w:top w:val="single" w:sz="4" w:space="0" w:color="auto"/>
              <w:right w:val="single" w:sz="4" w:space="0" w:color="auto"/>
            </w:tcBorders>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Academic Author included (n=170)</w:t>
            </w:r>
          </w:p>
        </w:tc>
        <w:tc>
          <w:tcPr>
            <w:tcW w:w="870" w:type="pct"/>
            <w:gridSpan w:val="2"/>
            <w:tcBorders>
              <w:top w:val="single" w:sz="4" w:space="0" w:color="auto"/>
              <w:left w:val="single" w:sz="4" w:space="0" w:color="auto"/>
              <w:right w:val="single" w:sz="4" w:space="0" w:color="auto"/>
            </w:tcBorders>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Medical Author included (n=146)</w:t>
            </w:r>
          </w:p>
        </w:tc>
        <w:tc>
          <w:tcPr>
            <w:tcW w:w="870" w:type="pct"/>
            <w:gridSpan w:val="2"/>
            <w:tcBorders>
              <w:top w:val="single" w:sz="4" w:space="0" w:color="auto"/>
              <w:left w:val="single" w:sz="4" w:space="0" w:color="auto"/>
            </w:tcBorders>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Other Author included (n=23)</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Borders>
              <w:bottom w:val="single" w:sz="4" w:space="0" w:color="auto"/>
            </w:tcBorders>
            <w:shd w:val="clear" w:color="auto" w:fill="auto"/>
          </w:tcPr>
          <w:p w:rsidR="00FD5A43" w:rsidRPr="00FD5A43" w:rsidRDefault="00FD5A43" w:rsidP="00FD5A43">
            <w:r w:rsidRPr="00FD5A43">
              <w:t>Component indicators</w:t>
            </w:r>
          </w:p>
          <w:p w:rsidR="00FD5A43" w:rsidRPr="00FD5A43" w:rsidRDefault="00FD5A43" w:rsidP="00FD5A43">
            <w:pPr>
              <w:rPr>
                <w:i/>
              </w:rPr>
            </w:pPr>
            <w:r w:rsidRPr="00FD5A43">
              <w:rPr>
                <w:i/>
              </w:rPr>
              <w:t>Whether or not:</w:t>
            </w:r>
          </w:p>
        </w:tc>
        <w:tc>
          <w:tcPr>
            <w:tcW w:w="412"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56"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415"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56"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415"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56"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tcBorders>
              <w:top w:val="single" w:sz="4" w:space="0" w:color="auto"/>
            </w:tcBorders>
            <w:shd w:val="clear" w:color="auto" w:fill="F2F2F2" w:themeFill="background1" w:themeFillShade="F2"/>
          </w:tcPr>
          <w:p w:rsidR="00FD5A43" w:rsidRPr="00FD5A43" w:rsidRDefault="00FD5A43" w:rsidP="00FD5A43">
            <w:pPr>
              <w:jc w:val="right"/>
            </w:pPr>
            <w:r w:rsidRPr="00FD5A43">
              <w:t>sample source was reported</w:t>
            </w:r>
          </w:p>
        </w:tc>
        <w:tc>
          <w:tcPr>
            <w:tcW w:w="412" w:type="pct"/>
            <w:tcBorders>
              <w:top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(170)</w:t>
            </w:r>
          </w:p>
        </w:tc>
        <w:tc>
          <w:tcPr>
            <w:tcW w:w="456" w:type="pct"/>
            <w:tcBorders>
              <w:top w:val="single" w:sz="4" w:space="0" w:color="auto"/>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415" w:type="pct"/>
            <w:tcBorders>
              <w:top w:val="single" w:sz="4" w:space="0" w:color="auto"/>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(145)</w:t>
            </w:r>
          </w:p>
        </w:tc>
        <w:tc>
          <w:tcPr>
            <w:tcW w:w="456" w:type="pct"/>
            <w:tcBorders>
              <w:top w:val="single" w:sz="4" w:space="0" w:color="auto"/>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99.3</w:t>
            </w:r>
          </w:p>
        </w:tc>
        <w:tc>
          <w:tcPr>
            <w:tcW w:w="415" w:type="pct"/>
            <w:tcBorders>
              <w:top w:val="single" w:sz="4" w:space="0" w:color="auto"/>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(23)</w:t>
            </w:r>
          </w:p>
        </w:tc>
        <w:tc>
          <w:tcPr>
            <w:tcW w:w="456" w:type="pct"/>
            <w:tcBorders>
              <w:top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type of sample was reported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(167)</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98.2</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(143)</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97.9</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(22)</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95.7</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recruitment procedures were reported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(165)</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97.1</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(140)</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95.9</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(22)</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95.7</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response rates or sample dispositions were reported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(145)</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85.3</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(121)</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82.9</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(16)</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69.6</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a conflict of interest was reported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(136)</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80.0</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(117)</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80.1</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(23)</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conduct of an ethical review was reported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(138)</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81.2</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(108)</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74.0</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(15)</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65.2</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potential measurement error was discussed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(103)</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60.6</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(90)</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61.6</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(16)</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69.6</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study response rates were discussed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(94)</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55.3</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(82)</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56.2</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43.5</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use of reminder messages to non-respondents was reported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(95)</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55.9</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(87)</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59.6</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34.8</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potential nonresponse error was discussed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(91)</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53.5</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(82)</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56.2</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52.2</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a Pilot test (or expert review) was reported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(70)</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41.2</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(57)</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39.0</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43.5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an informed consent was obtained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(48)</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28.2</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(38)</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26.0</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21.7</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F2F2F2" w:themeFill="background1" w:themeFillShade="F2"/>
          </w:tcPr>
          <w:p w:rsidR="00FD5A43" w:rsidRPr="00FD5A43" w:rsidRDefault="00FD5A43" w:rsidP="00FD5A43">
            <w:pPr>
              <w:jc w:val="right"/>
            </w:pPr>
            <w:r w:rsidRPr="00FD5A43">
              <w:t>potential coverage error was discussed</w:t>
            </w:r>
          </w:p>
        </w:tc>
        <w:tc>
          <w:tcPr>
            <w:tcW w:w="412"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(45)</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26.5</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(35)</w:t>
            </w:r>
          </w:p>
        </w:tc>
        <w:tc>
          <w:tcPr>
            <w:tcW w:w="456"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24.0</w:t>
            </w:r>
          </w:p>
        </w:tc>
        <w:tc>
          <w:tcPr>
            <w:tcW w:w="41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w:t>
            </w:r>
          </w:p>
        </w:tc>
        <w:tc>
          <w:tcPr>
            <w:tcW w:w="45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30.4</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use of respondent incentives was reported</w:t>
            </w:r>
          </w:p>
        </w:tc>
        <w:tc>
          <w:tcPr>
            <w:tcW w:w="412"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(34)</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20.0</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(20)</w:t>
            </w:r>
          </w:p>
        </w:tc>
        <w:tc>
          <w:tcPr>
            <w:tcW w:w="456"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19.9</w:t>
            </w:r>
          </w:p>
        </w:tc>
        <w:tc>
          <w:tcPr>
            <w:tcW w:w="41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w:t>
            </w:r>
          </w:p>
        </w:tc>
        <w:tc>
          <w:tcPr>
            <w:tcW w:w="45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34.8</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tcBorders>
              <w:bottom w:val="single" w:sz="4" w:space="0" w:color="auto"/>
            </w:tcBorders>
            <w:shd w:val="clear" w:color="auto" w:fill="F2F2F2" w:themeFill="background1" w:themeFillShade="F2"/>
          </w:tcPr>
          <w:p w:rsidR="00FD5A43" w:rsidRPr="00FD5A43" w:rsidRDefault="00FD5A43" w:rsidP="00FD5A43">
            <w:pPr>
              <w:jc w:val="right"/>
            </w:pPr>
            <w:r w:rsidRPr="00FD5A43">
              <w:t>potential processing error was discussed</w:t>
            </w:r>
          </w:p>
        </w:tc>
        <w:tc>
          <w:tcPr>
            <w:tcW w:w="412" w:type="pct"/>
            <w:tcBorders>
              <w:bottom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w:t>
            </w:r>
          </w:p>
        </w:tc>
        <w:tc>
          <w:tcPr>
            <w:tcW w:w="456" w:type="pct"/>
            <w:tcBorders>
              <w:bottom w:val="single" w:sz="4" w:space="0" w:color="auto"/>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0.6</w:t>
            </w:r>
          </w:p>
        </w:tc>
        <w:tc>
          <w:tcPr>
            <w:tcW w:w="415" w:type="pct"/>
            <w:tcBorders>
              <w:left w:val="single" w:sz="4" w:space="0" w:color="auto"/>
              <w:bottom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w:t>
            </w:r>
          </w:p>
        </w:tc>
        <w:tc>
          <w:tcPr>
            <w:tcW w:w="456" w:type="pct"/>
            <w:tcBorders>
              <w:bottom w:val="single" w:sz="4" w:space="0" w:color="auto"/>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0.7</w:t>
            </w:r>
          </w:p>
        </w:tc>
        <w:tc>
          <w:tcPr>
            <w:tcW w:w="415" w:type="pct"/>
            <w:tcBorders>
              <w:left w:val="single" w:sz="4" w:space="0" w:color="auto"/>
              <w:bottom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w:t>
            </w:r>
          </w:p>
        </w:tc>
        <w:tc>
          <w:tcPr>
            <w:tcW w:w="456" w:type="pct"/>
            <w:tcBorders>
              <w:bottom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4.3</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r w:rsidRPr="00FD5A43">
              <w:t>Transparency Index</w:t>
            </w:r>
          </w:p>
        </w:tc>
        <w:tc>
          <w:tcPr>
            <w:tcW w:w="868" w:type="pct"/>
            <w:gridSpan w:val="2"/>
            <w:shd w:val="clear" w:color="auto" w:fill="auto"/>
          </w:tcPr>
          <w:p w:rsidR="00FD5A43" w:rsidRPr="00FD5A43" w:rsidRDefault="00FD5A43" w:rsidP="00FD5A43">
            <w:pPr>
              <w:cnfStyle w:val="000000100000" w:firstRow="0" w:lastRow="0" w:firstColumn="0" w:lastColumn="0" w:oddVBand="0" w:evenVBand="0" w:oddHBand="1" w:evenHBand="0" w:firstRowFirstColumn="0" w:firstRowLastColumn="0" w:lastRowFirstColumn="0" w:lastRowLastColumn="0"/>
            </w:pPr>
          </w:p>
        </w:tc>
        <w:tc>
          <w:tcPr>
            <w:tcW w:w="870" w:type="pct"/>
            <w:gridSpan w:val="2"/>
            <w:shd w:val="clear" w:color="auto" w:fill="auto"/>
          </w:tcPr>
          <w:p w:rsidR="00FD5A43" w:rsidRPr="00FD5A43" w:rsidRDefault="00FD5A43" w:rsidP="00FD5A43">
            <w:pPr>
              <w:cnfStyle w:val="000000100000" w:firstRow="0" w:lastRow="0" w:firstColumn="0" w:lastColumn="0" w:oddVBand="0" w:evenVBand="0" w:oddHBand="1" w:evenHBand="0" w:firstRowFirstColumn="0" w:firstRowLastColumn="0" w:lastRowFirstColumn="0" w:lastRowLastColumn="0"/>
            </w:pPr>
          </w:p>
        </w:tc>
        <w:tc>
          <w:tcPr>
            <w:tcW w:w="870" w:type="pct"/>
            <w:gridSpan w:val="2"/>
            <w:shd w:val="clear" w:color="auto" w:fill="auto"/>
          </w:tcPr>
          <w:p w:rsidR="00FD5A43" w:rsidRPr="00FD5A43" w:rsidRDefault="00FD5A43" w:rsidP="00FD5A43">
            <w:pPr>
              <w:cnfStyle w:val="000000100000" w:firstRow="0" w:lastRow="0" w:firstColumn="0" w:lastColumn="0" w:oddVBand="0" w:evenVBand="0" w:oddHBand="1" w:evenHBand="0" w:firstRowFirstColumn="0" w:firstRowLastColumn="0" w:lastRowFirstColumn="0" w:lastRowLastColumn="0"/>
            </w:pP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Mean</w:t>
            </w:r>
          </w:p>
        </w:tc>
        <w:tc>
          <w:tcPr>
            <w:tcW w:w="868"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8.8</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8.7</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8.6</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(Standard deviation)</w:t>
            </w:r>
          </w:p>
        </w:tc>
        <w:tc>
          <w:tcPr>
            <w:tcW w:w="868"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(2.0)</w:t>
            </w:r>
          </w:p>
        </w:tc>
        <w:tc>
          <w:tcPr>
            <w:tcW w:w="870"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(2.1)</w:t>
            </w:r>
          </w:p>
        </w:tc>
        <w:tc>
          <w:tcPr>
            <w:tcW w:w="870"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(2.1)</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Median</w:t>
            </w:r>
          </w:p>
        </w:tc>
        <w:tc>
          <w:tcPr>
            <w:tcW w:w="868"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9.0</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9.0</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9.0</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Mode</w:t>
            </w:r>
          </w:p>
        </w:tc>
        <w:tc>
          <w:tcPr>
            <w:tcW w:w="868"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w:t>
            </w:r>
          </w:p>
        </w:tc>
        <w:tc>
          <w:tcPr>
            <w:tcW w:w="870"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w:t>
            </w:r>
          </w:p>
        </w:tc>
        <w:tc>
          <w:tcPr>
            <w:tcW w:w="870"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w:t>
            </w:r>
          </w:p>
        </w:tc>
      </w:tr>
      <w:tr w:rsidR="00FD5A43" w:rsidRPr="00FD5A43" w:rsidTr="00945627">
        <w:tc>
          <w:tcPr>
            <w:cnfStyle w:val="001000000000" w:firstRow="0" w:lastRow="0" w:firstColumn="1" w:lastColumn="0" w:oddVBand="0" w:evenVBand="0" w:oddHBand="0" w:evenHBand="0" w:firstRowFirstColumn="0" w:firstRowLastColumn="0" w:lastRowFirstColumn="0" w:lastRowLastColumn="0"/>
            <w:tcW w:w="2392" w:type="pct"/>
            <w:shd w:val="clear" w:color="auto" w:fill="auto"/>
          </w:tcPr>
          <w:p w:rsidR="00FD5A43" w:rsidRPr="00FD5A43" w:rsidRDefault="00FD5A43" w:rsidP="00FD5A43">
            <w:pPr>
              <w:jc w:val="right"/>
            </w:pPr>
            <w:r w:rsidRPr="00FD5A43">
              <w:t>(Potential Range)</w:t>
            </w:r>
          </w:p>
        </w:tc>
        <w:tc>
          <w:tcPr>
            <w:tcW w:w="868"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(0-15)</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(0-15)</w:t>
            </w:r>
          </w:p>
        </w:tc>
        <w:tc>
          <w:tcPr>
            <w:tcW w:w="870"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(0-15)</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pct"/>
            <w:tcBorders>
              <w:bottom w:val="single" w:sz="4" w:space="0" w:color="auto"/>
            </w:tcBorders>
            <w:shd w:val="clear" w:color="auto" w:fill="auto"/>
          </w:tcPr>
          <w:p w:rsidR="00FD5A43" w:rsidRPr="00FD5A43" w:rsidRDefault="00FD5A43" w:rsidP="00FD5A43">
            <w:pPr>
              <w:jc w:val="right"/>
            </w:pPr>
            <w:r w:rsidRPr="00FD5A43">
              <w:t>(Actual Range)</w:t>
            </w:r>
          </w:p>
        </w:tc>
        <w:tc>
          <w:tcPr>
            <w:tcW w:w="868" w:type="pct"/>
            <w:gridSpan w:val="2"/>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(5-13)</w:t>
            </w:r>
          </w:p>
        </w:tc>
        <w:tc>
          <w:tcPr>
            <w:tcW w:w="870" w:type="pct"/>
            <w:gridSpan w:val="2"/>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(2-13)</w:t>
            </w:r>
          </w:p>
        </w:tc>
        <w:tc>
          <w:tcPr>
            <w:tcW w:w="870" w:type="pct"/>
            <w:gridSpan w:val="2"/>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(5-12)</w:t>
            </w:r>
          </w:p>
        </w:tc>
      </w:tr>
    </w:tbl>
    <w:p w:rsidR="00FD5A43" w:rsidRPr="00FD5A43" w:rsidRDefault="00FD5A43" w:rsidP="00FD5A43">
      <w:pPr>
        <w:spacing w:after="120" w:line="264" w:lineRule="auto"/>
        <w:rPr>
          <w:rFonts w:eastAsiaTheme="minorEastAsia"/>
          <w:sz w:val="20"/>
          <w:szCs w:val="20"/>
        </w:rPr>
      </w:pPr>
    </w:p>
    <w:p w:rsidR="00FD5A43" w:rsidRPr="00FD5A43" w:rsidRDefault="00FD5A43" w:rsidP="00FD5A43">
      <w:pPr>
        <w:spacing w:after="120" w:line="264" w:lineRule="auto"/>
        <w:rPr>
          <w:rFonts w:eastAsiaTheme="minorEastAsia"/>
          <w:sz w:val="20"/>
          <w:szCs w:val="20"/>
        </w:rPr>
      </w:pPr>
      <w:r w:rsidRPr="00FD5A43">
        <w:rPr>
          <w:rFonts w:eastAsiaTheme="minorEastAsia"/>
          <w:sz w:val="20"/>
          <w:szCs w:val="20"/>
        </w:rPr>
        <w:br w:type="page"/>
      </w:r>
    </w:p>
    <w:p w:rsidR="00FD5A43" w:rsidRPr="00FD5A43" w:rsidRDefault="00FD5A43" w:rsidP="00FD5A43">
      <w:pPr>
        <w:spacing w:after="0" w:line="240" w:lineRule="auto"/>
        <w:rPr>
          <w:rFonts w:ascii="Cambria" w:eastAsia="Times New Roman" w:hAnsi="Cambria" w:cs="Calibri"/>
          <w:b/>
          <w:color w:val="000000"/>
          <w:sz w:val="24"/>
          <w:szCs w:val="24"/>
        </w:rPr>
      </w:pPr>
      <w:r w:rsidRPr="00FD5A43">
        <w:rPr>
          <w:rFonts w:ascii="Cambria" w:eastAsia="Times New Roman" w:hAnsi="Cambria" w:cs="Calibri"/>
          <w:b/>
          <w:color w:val="000000"/>
          <w:sz w:val="24"/>
          <w:szCs w:val="24"/>
        </w:rPr>
        <w:lastRenderedPageBreak/>
        <w:t>Appendix Table 4. Distribution of transparency Index and component indicators across papers by region</w:t>
      </w:r>
    </w:p>
    <w:p w:rsidR="00FD5A43" w:rsidRPr="00FD5A43" w:rsidRDefault="00FD5A43" w:rsidP="00FD5A43">
      <w:pPr>
        <w:spacing w:after="120" w:line="264" w:lineRule="auto"/>
        <w:ind w:firstLine="720"/>
        <w:rPr>
          <w:rFonts w:eastAsiaTheme="minorEastAsia"/>
          <w:sz w:val="20"/>
          <w:szCs w:val="20"/>
        </w:rPr>
      </w:pPr>
    </w:p>
    <w:tbl>
      <w:tblPr>
        <w:tblStyle w:val="PlainTable4"/>
        <w:tblW w:w="5578" w:type="pct"/>
        <w:tblLook w:val="04A0" w:firstRow="1" w:lastRow="0" w:firstColumn="1" w:lastColumn="0" w:noHBand="0" w:noVBand="1"/>
      </w:tblPr>
      <w:tblGrid>
        <w:gridCol w:w="2977"/>
        <w:gridCol w:w="556"/>
        <w:gridCol w:w="854"/>
        <w:gridCol w:w="572"/>
        <w:gridCol w:w="854"/>
        <w:gridCol w:w="670"/>
        <w:gridCol w:w="888"/>
        <w:gridCol w:w="572"/>
        <w:gridCol w:w="965"/>
        <w:gridCol w:w="574"/>
        <w:gridCol w:w="881"/>
        <w:gridCol w:w="27"/>
        <w:gridCol w:w="52"/>
      </w:tblGrid>
      <w:tr w:rsidR="00FD5A43" w:rsidRPr="00FD5A43" w:rsidTr="00945627">
        <w:trPr>
          <w:gridAfter w:val="2"/>
          <w:cnfStyle w:val="100000000000" w:firstRow="1" w:lastRow="0" w:firstColumn="0" w:lastColumn="0" w:oddVBand="0" w:evenVBand="0" w:oddHBand="0" w:evenHBand="0" w:firstRowFirstColumn="0" w:firstRowLastColumn="0" w:lastRowFirstColumn="0" w:lastRowLastColumn="0"/>
          <w:wAfter w:w="38" w:type="pct"/>
        </w:trPr>
        <w:tc>
          <w:tcPr>
            <w:cnfStyle w:val="001000000000" w:firstRow="0" w:lastRow="0" w:firstColumn="1" w:lastColumn="0" w:oddVBand="0" w:evenVBand="0" w:oddHBand="0" w:evenHBand="0" w:firstRowFirstColumn="0" w:firstRowLastColumn="0" w:lastRowFirstColumn="0" w:lastRowLastColumn="0"/>
            <w:tcW w:w="1425" w:type="pct"/>
            <w:tcBorders>
              <w:top w:val="single" w:sz="4" w:space="0" w:color="auto"/>
            </w:tcBorders>
            <w:shd w:val="clear" w:color="auto" w:fill="auto"/>
          </w:tcPr>
          <w:p w:rsidR="00FD5A43" w:rsidRPr="00FD5A43" w:rsidRDefault="00FD5A43" w:rsidP="00FD5A43"/>
        </w:tc>
        <w:tc>
          <w:tcPr>
            <w:tcW w:w="674" w:type="pct"/>
            <w:gridSpan w:val="2"/>
            <w:tcBorders>
              <w:top w:val="single" w:sz="4" w:space="0" w:color="auto"/>
              <w:right w:val="single" w:sz="4" w:space="0" w:color="auto"/>
            </w:tcBorders>
            <w:shd w:val="clear" w:color="auto" w:fill="auto"/>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Asia</w:t>
            </w:r>
          </w:p>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 xml:space="preserve"> (n=9)</w:t>
            </w:r>
          </w:p>
        </w:tc>
        <w:tc>
          <w:tcPr>
            <w:tcW w:w="683" w:type="pct"/>
            <w:gridSpan w:val="2"/>
            <w:tcBorders>
              <w:top w:val="single" w:sz="4" w:space="0" w:color="auto"/>
              <w:left w:val="single" w:sz="4" w:space="0" w:color="auto"/>
              <w:right w:val="single" w:sz="4" w:space="0" w:color="auto"/>
            </w:tcBorders>
            <w:shd w:val="clear" w:color="auto" w:fill="auto"/>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Europe</w:t>
            </w:r>
          </w:p>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 xml:space="preserve"> (n=55)</w:t>
            </w:r>
          </w:p>
        </w:tc>
        <w:tc>
          <w:tcPr>
            <w:tcW w:w="746" w:type="pct"/>
            <w:gridSpan w:val="2"/>
            <w:tcBorders>
              <w:top w:val="single" w:sz="4" w:space="0" w:color="auto"/>
              <w:left w:val="single" w:sz="4" w:space="0" w:color="auto"/>
              <w:right w:val="single" w:sz="4" w:space="0" w:color="auto"/>
            </w:tcBorders>
            <w:shd w:val="clear" w:color="auto" w:fill="auto"/>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 xml:space="preserve">North &amp; South America </w:t>
            </w:r>
          </w:p>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(n=99)</w:t>
            </w:r>
          </w:p>
        </w:tc>
        <w:tc>
          <w:tcPr>
            <w:tcW w:w="736" w:type="pct"/>
            <w:gridSpan w:val="2"/>
            <w:tcBorders>
              <w:top w:val="single" w:sz="4" w:space="0" w:color="auto"/>
              <w:left w:val="single" w:sz="4" w:space="0" w:color="auto"/>
              <w:right w:val="single" w:sz="4" w:space="0" w:color="auto"/>
            </w:tcBorders>
            <w:shd w:val="clear" w:color="auto" w:fill="auto"/>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Oceana</w:t>
            </w:r>
          </w:p>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(n=21)</w:t>
            </w:r>
          </w:p>
        </w:tc>
        <w:tc>
          <w:tcPr>
            <w:tcW w:w="697" w:type="pct"/>
            <w:gridSpan w:val="2"/>
            <w:tcBorders>
              <w:top w:val="single" w:sz="4" w:space="0" w:color="auto"/>
              <w:left w:val="single" w:sz="4" w:space="0" w:color="auto"/>
            </w:tcBorders>
            <w:shd w:val="clear" w:color="auto" w:fill="auto"/>
          </w:tcPr>
          <w:p w:rsidR="00FD5A43" w:rsidRPr="00FD5A43" w:rsidRDefault="00FD5A43" w:rsidP="00FD5A43">
            <w:pPr>
              <w:jc w:val="center"/>
              <w:cnfStyle w:val="100000000000" w:firstRow="1" w:lastRow="0" w:firstColumn="0" w:lastColumn="0" w:oddVBand="0" w:evenVBand="0" w:oddHBand="0" w:evenHBand="0" w:firstRowFirstColumn="0" w:firstRowLastColumn="0" w:lastRowFirstColumn="0" w:lastRowLastColumn="0"/>
            </w:pPr>
            <w:r w:rsidRPr="00FD5A43">
              <w:t>Multiple continents (n=16)</w:t>
            </w:r>
          </w:p>
        </w:tc>
      </w:tr>
      <w:tr w:rsidR="00FD5A43" w:rsidRPr="00FD5A43" w:rsidTr="00945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pct"/>
            <w:tcBorders>
              <w:bottom w:val="single" w:sz="4" w:space="0" w:color="auto"/>
            </w:tcBorders>
            <w:shd w:val="clear" w:color="auto" w:fill="auto"/>
          </w:tcPr>
          <w:p w:rsidR="00FD5A43" w:rsidRPr="00FD5A43" w:rsidRDefault="00FD5A43" w:rsidP="00FD5A43">
            <w:r w:rsidRPr="00FD5A43">
              <w:t>Component indicators</w:t>
            </w:r>
          </w:p>
          <w:p w:rsidR="00FD5A43" w:rsidRPr="00FD5A43" w:rsidRDefault="00FD5A43" w:rsidP="00FD5A43">
            <w:r w:rsidRPr="00FD5A43">
              <w:t>Whether or not:</w:t>
            </w:r>
          </w:p>
        </w:tc>
        <w:tc>
          <w:tcPr>
            <w:tcW w:w="266"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08"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274"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08"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321"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25"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274"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62" w:type="pct"/>
            <w:tcBorders>
              <w:bottom w:val="single" w:sz="4" w:space="0" w:color="auto"/>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c>
          <w:tcPr>
            <w:tcW w:w="275" w:type="pct"/>
            <w:tcBorders>
              <w:left w:val="single" w:sz="4" w:space="0" w:color="auto"/>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(N)</w:t>
            </w:r>
          </w:p>
        </w:tc>
        <w:tc>
          <w:tcPr>
            <w:tcW w:w="460" w:type="pct"/>
            <w:gridSpan w:val="3"/>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 of studies</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sample source was reported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(54)</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98.2</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(99)</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(21)</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(16)</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type of sample was reported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100.0</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(53)</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96.4</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(97)</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98.0</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(21)</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100.0</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(16)</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100.0</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recruitment procedures were reported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(53)</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96.4</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(94)</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94.9</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(21)</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(16)</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response rates or sample dispositions were reported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100.0</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(44)</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80.0</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(83)</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83.8</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(19)</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90.5</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75.0</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a conflict of interest was reported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(48)</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87.3</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(74)</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74.7</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(14)</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66.7</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(15)</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93.8</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conduct of an ethical review was reported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(6)</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66.7</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(36)</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65.5</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(81)</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81.8</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(17)</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81.0</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75.0</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potential measurement error was discussed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44.4</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(34)</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61.8</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(62)</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62.6</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(15)</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71.4</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62.5</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study response rates were discussed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44.4</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(32)</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58.2</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(57)</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57.6</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57.1</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43.8</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use of reminder messages to non-respondents was reported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33.3</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(33)</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60.0</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(62)</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62.6</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(8)</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38.1</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31.3</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potential nonresponse error was discussed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44.4</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(32)</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58.2</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(55)</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55.6</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(10)</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47.6</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50.0</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a Pilot test (or expert review) was reported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22.2</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(23)</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41.8</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(44)</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44.4</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47.6</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(4)</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25.0</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an informed consent was obtained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33.3</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(16)</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29.1</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(22)</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22.2</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33.3</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18.8</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potential coverage error was discussed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22.2</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(11)</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20.0</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(28)</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28.3</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23.8</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18.8</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use of respondent incentives was reported</w:t>
            </w:r>
          </w:p>
        </w:tc>
        <w:tc>
          <w:tcPr>
            <w:tcW w:w="266" w:type="pct"/>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22.2</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(7)</w:t>
            </w:r>
          </w:p>
        </w:tc>
        <w:tc>
          <w:tcPr>
            <w:tcW w:w="408"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12.7</w:t>
            </w:r>
          </w:p>
        </w:tc>
        <w:tc>
          <w:tcPr>
            <w:tcW w:w="321"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(24)</w:t>
            </w:r>
          </w:p>
        </w:tc>
        <w:tc>
          <w:tcPr>
            <w:tcW w:w="425"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24.2</w:t>
            </w:r>
          </w:p>
        </w:tc>
        <w:tc>
          <w:tcPr>
            <w:tcW w:w="274"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(5)</w:t>
            </w:r>
          </w:p>
        </w:tc>
        <w:tc>
          <w:tcPr>
            <w:tcW w:w="462" w:type="pct"/>
            <w:tcBorders>
              <w:righ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23.8</w:t>
            </w:r>
          </w:p>
        </w:tc>
        <w:tc>
          <w:tcPr>
            <w:tcW w:w="275" w:type="pct"/>
            <w:tcBorders>
              <w:left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(3)</w:t>
            </w:r>
          </w:p>
        </w:tc>
        <w:tc>
          <w:tcPr>
            <w:tcW w:w="435"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18.8</w:t>
            </w: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F2F2F2" w:themeFill="background1" w:themeFillShade="F2"/>
          </w:tcPr>
          <w:p w:rsidR="00FD5A43" w:rsidRPr="00FD5A43" w:rsidRDefault="00FD5A43" w:rsidP="00FD5A43">
            <w:pPr>
              <w:jc w:val="right"/>
            </w:pPr>
            <w:r w:rsidRPr="00FD5A43">
              <w:t>potential processing error was discussed</w:t>
            </w:r>
          </w:p>
        </w:tc>
        <w:tc>
          <w:tcPr>
            <w:tcW w:w="266" w:type="pct"/>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w:t>
            </w:r>
          </w:p>
        </w:tc>
        <w:tc>
          <w:tcPr>
            <w:tcW w:w="408"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0.0</w:t>
            </w:r>
          </w:p>
        </w:tc>
        <w:tc>
          <w:tcPr>
            <w:tcW w:w="321"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w:t>
            </w:r>
          </w:p>
        </w:tc>
        <w:tc>
          <w:tcPr>
            <w:tcW w:w="425"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0.0</w:t>
            </w:r>
          </w:p>
        </w:tc>
        <w:tc>
          <w:tcPr>
            <w:tcW w:w="274"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w:t>
            </w:r>
          </w:p>
        </w:tc>
        <w:tc>
          <w:tcPr>
            <w:tcW w:w="462" w:type="pct"/>
            <w:tcBorders>
              <w:righ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0.0</w:t>
            </w:r>
          </w:p>
        </w:tc>
        <w:tc>
          <w:tcPr>
            <w:tcW w:w="275" w:type="pct"/>
            <w:tcBorders>
              <w:left w:val="single" w:sz="4" w:space="0" w:color="auto"/>
            </w:tcBorders>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w:t>
            </w:r>
          </w:p>
        </w:tc>
        <w:tc>
          <w:tcPr>
            <w:tcW w:w="435" w:type="pct"/>
            <w:gridSpan w:val="2"/>
            <w:shd w:val="clear" w:color="auto" w:fill="F2F2F2" w:themeFill="background1" w:themeFillShade="F2"/>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6.3</w:t>
            </w:r>
          </w:p>
        </w:tc>
      </w:tr>
      <w:tr w:rsidR="00FD5A43" w:rsidRPr="00FD5A43" w:rsidTr="00945627">
        <w:trPr>
          <w:gridAfter w:val="1"/>
          <w:cnfStyle w:val="000000100000" w:firstRow="0" w:lastRow="0" w:firstColumn="0" w:lastColumn="0" w:oddVBand="0" w:evenVBand="0" w:oddHBand="1" w:evenHBand="0" w:firstRowFirstColumn="0" w:firstRowLastColumn="0" w:lastRowFirstColumn="0" w:lastRowLastColumn="0"/>
          <w:wAfter w:w="25" w:type="pct"/>
        </w:trPr>
        <w:tc>
          <w:tcPr>
            <w:cnfStyle w:val="001000000000" w:firstRow="0" w:lastRow="0" w:firstColumn="1" w:lastColumn="0" w:oddVBand="0" w:evenVBand="0" w:oddHBand="0" w:evenHBand="0" w:firstRowFirstColumn="0" w:firstRowLastColumn="0" w:lastRowFirstColumn="0" w:lastRowLastColumn="0"/>
            <w:tcW w:w="1425" w:type="pct"/>
            <w:tcBorders>
              <w:bottom w:val="single" w:sz="4" w:space="0" w:color="auto"/>
            </w:tcBorders>
            <w:shd w:val="clear" w:color="auto" w:fill="auto"/>
          </w:tcPr>
          <w:p w:rsidR="00FD5A43" w:rsidRPr="00FD5A43" w:rsidRDefault="00FD5A43" w:rsidP="00FD5A43"/>
        </w:tc>
        <w:tc>
          <w:tcPr>
            <w:tcW w:w="266"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408"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274"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408"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321"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425"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274"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462"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275" w:type="pct"/>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c>
          <w:tcPr>
            <w:tcW w:w="435" w:type="pct"/>
            <w:gridSpan w:val="2"/>
            <w:tcBorders>
              <w:bottom w:val="single" w:sz="4" w:space="0" w:color="auto"/>
            </w:tcBorders>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p>
        </w:tc>
      </w:tr>
      <w:tr w:rsidR="00FD5A43" w:rsidRPr="00FD5A43" w:rsidTr="00945627">
        <w:trPr>
          <w:gridAfter w:val="1"/>
          <w:wAfter w:w="25" w:type="pct"/>
        </w:trPr>
        <w:tc>
          <w:tcPr>
            <w:cnfStyle w:val="001000000000" w:firstRow="0" w:lastRow="0" w:firstColumn="1" w:lastColumn="0" w:oddVBand="0" w:evenVBand="0" w:oddHBand="0" w:evenHBand="0" w:firstRowFirstColumn="0" w:firstRowLastColumn="0" w:lastRowFirstColumn="0" w:lastRowLastColumn="0"/>
            <w:tcW w:w="2100" w:type="pct"/>
            <w:gridSpan w:val="3"/>
            <w:tcBorders>
              <w:top w:val="single" w:sz="4" w:space="0" w:color="auto"/>
            </w:tcBorders>
            <w:shd w:val="clear" w:color="auto" w:fill="auto"/>
          </w:tcPr>
          <w:p w:rsidR="00FD5A43" w:rsidRPr="00FD5A43" w:rsidRDefault="00FD5A43" w:rsidP="00FD5A43">
            <w:r w:rsidRPr="00FD5A43">
              <w:t>Transparency Index</w:t>
            </w:r>
          </w:p>
        </w:tc>
        <w:tc>
          <w:tcPr>
            <w:tcW w:w="274"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408"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321"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425"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274"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462"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275" w:type="pct"/>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c>
          <w:tcPr>
            <w:tcW w:w="435" w:type="pct"/>
            <w:gridSpan w:val="2"/>
            <w:tcBorders>
              <w:top w:val="single" w:sz="4" w:space="0" w:color="auto"/>
            </w:tcBorders>
            <w:shd w:val="clear" w:color="auto" w:fill="auto"/>
          </w:tcPr>
          <w:p w:rsidR="00FD5A43" w:rsidRPr="00FD5A43" w:rsidRDefault="00FD5A43" w:rsidP="00FD5A43">
            <w:pPr>
              <w:cnfStyle w:val="000000000000" w:firstRow="0" w:lastRow="0" w:firstColumn="0" w:lastColumn="0" w:oddVBand="0" w:evenVBand="0" w:oddHBand="0" w:evenHBand="0" w:firstRowFirstColumn="0" w:firstRowLastColumn="0" w:lastRowFirstColumn="0" w:lastRowLastColumn="0"/>
            </w:pPr>
          </w:p>
        </w:tc>
      </w:tr>
      <w:tr w:rsidR="00FD5A43" w:rsidRPr="00FD5A43" w:rsidTr="00945627">
        <w:trPr>
          <w:gridAfter w:val="2"/>
          <w:cnfStyle w:val="000000100000" w:firstRow="0" w:lastRow="0" w:firstColumn="0" w:lastColumn="0" w:oddVBand="0" w:evenVBand="0" w:oddHBand="1" w:evenHBand="0" w:firstRowFirstColumn="0" w:firstRowLastColumn="0" w:lastRowFirstColumn="0" w:lastRowLastColumn="0"/>
          <w:wAfter w:w="38"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Mean</w:t>
            </w:r>
          </w:p>
        </w:tc>
        <w:tc>
          <w:tcPr>
            <w:tcW w:w="674"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8.3</w:t>
            </w:r>
          </w:p>
        </w:tc>
        <w:tc>
          <w:tcPr>
            <w:tcW w:w="683"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8.7</w:t>
            </w:r>
          </w:p>
        </w:tc>
        <w:tc>
          <w:tcPr>
            <w:tcW w:w="74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8.9</w:t>
            </w:r>
          </w:p>
        </w:tc>
        <w:tc>
          <w:tcPr>
            <w:tcW w:w="73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8.8</w:t>
            </w:r>
          </w:p>
        </w:tc>
        <w:tc>
          <w:tcPr>
            <w:tcW w:w="697"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8.2</w:t>
            </w:r>
          </w:p>
        </w:tc>
      </w:tr>
      <w:tr w:rsidR="00FD5A43" w:rsidRPr="00FD5A43" w:rsidTr="00945627">
        <w:trPr>
          <w:gridAfter w:val="2"/>
          <w:wAfter w:w="38"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(Standard deviation)</w:t>
            </w:r>
          </w:p>
        </w:tc>
        <w:tc>
          <w:tcPr>
            <w:tcW w:w="674"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(1.9)</w:t>
            </w:r>
          </w:p>
        </w:tc>
        <w:tc>
          <w:tcPr>
            <w:tcW w:w="683"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(2.0)</w:t>
            </w:r>
          </w:p>
        </w:tc>
        <w:tc>
          <w:tcPr>
            <w:tcW w:w="746"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(2.1)</w:t>
            </w:r>
          </w:p>
        </w:tc>
        <w:tc>
          <w:tcPr>
            <w:tcW w:w="736"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(2.3)</w:t>
            </w:r>
          </w:p>
        </w:tc>
        <w:tc>
          <w:tcPr>
            <w:tcW w:w="697"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(1.9)</w:t>
            </w:r>
          </w:p>
        </w:tc>
      </w:tr>
      <w:tr w:rsidR="00FD5A43" w:rsidRPr="00FD5A43" w:rsidTr="00945627">
        <w:trPr>
          <w:gridAfter w:val="2"/>
          <w:cnfStyle w:val="000000100000" w:firstRow="0" w:lastRow="0" w:firstColumn="0" w:lastColumn="0" w:oddVBand="0" w:evenVBand="0" w:oddHBand="1" w:evenHBand="0" w:firstRowFirstColumn="0" w:firstRowLastColumn="0" w:lastRowFirstColumn="0" w:lastRowLastColumn="0"/>
          <w:wAfter w:w="38"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Median</w:t>
            </w:r>
          </w:p>
        </w:tc>
        <w:tc>
          <w:tcPr>
            <w:tcW w:w="674"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8.0</w:t>
            </w:r>
          </w:p>
        </w:tc>
        <w:tc>
          <w:tcPr>
            <w:tcW w:w="683"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9.0</w:t>
            </w:r>
          </w:p>
        </w:tc>
        <w:tc>
          <w:tcPr>
            <w:tcW w:w="74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9.0</w:t>
            </w:r>
          </w:p>
        </w:tc>
        <w:tc>
          <w:tcPr>
            <w:tcW w:w="73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9.0</w:t>
            </w:r>
          </w:p>
        </w:tc>
        <w:tc>
          <w:tcPr>
            <w:tcW w:w="697"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9.0</w:t>
            </w:r>
          </w:p>
        </w:tc>
      </w:tr>
      <w:tr w:rsidR="00FD5A43" w:rsidRPr="00FD5A43" w:rsidTr="00945627">
        <w:trPr>
          <w:gridAfter w:val="2"/>
          <w:wAfter w:w="38"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Mode</w:t>
            </w:r>
          </w:p>
        </w:tc>
        <w:tc>
          <w:tcPr>
            <w:tcW w:w="674"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7.0</w:t>
            </w:r>
          </w:p>
        </w:tc>
        <w:tc>
          <w:tcPr>
            <w:tcW w:w="683"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11.0</w:t>
            </w:r>
          </w:p>
        </w:tc>
        <w:tc>
          <w:tcPr>
            <w:tcW w:w="746"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w:t>
            </w:r>
          </w:p>
        </w:tc>
        <w:tc>
          <w:tcPr>
            <w:tcW w:w="736"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6.0 &amp; 9.0</w:t>
            </w:r>
          </w:p>
        </w:tc>
        <w:tc>
          <w:tcPr>
            <w:tcW w:w="697" w:type="pct"/>
            <w:gridSpan w:val="2"/>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10.0</w:t>
            </w:r>
          </w:p>
        </w:tc>
      </w:tr>
      <w:tr w:rsidR="00FD5A43" w:rsidRPr="00FD5A43" w:rsidTr="00945627">
        <w:trPr>
          <w:gridAfter w:val="2"/>
          <w:cnfStyle w:val="000000100000" w:firstRow="0" w:lastRow="0" w:firstColumn="0" w:lastColumn="0" w:oddVBand="0" w:evenVBand="0" w:oddHBand="1" w:evenHBand="0" w:firstRowFirstColumn="0" w:firstRowLastColumn="0" w:lastRowFirstColumn="0" w:lastRowLastColumn="0"/>
          <w:wAfter w:w="38" w:type="pct"/>
        </w:trPr>
        <w:tc>
          <w:tcPr>
            <w:cnfStyle w:val="001000000000" w:firstRow="0" w:lastRow="0" w:firstColumn="1" w:lastColumn="0" w:oddVBand="0" w:evenVBand="0" w:oddHBand="0" w:evenHBand="0" w:firstRowFirstColumn="0" w:firstRowLastColumn="0" w:lastRowFirstColumn="0" w:lastRowLastColumn="0"/>
            <w:tcW w:w="1425" w:type="pct"/>
            <w:shd w:val="clear" w:color="auto" w:fill="auto"/>
          </w:tcPr>
          <w:p w:rsidR="00FD5A43" w:rsidRPr="00FD5A43" w:rsidRDefault="00FD5A43" w:rsidP="00FD5A43">
            <w:pPr>
              <w:jc w:val="right"/>
            </w:pPr>
            <w:r w:rsidRPr="00FD5A43">
              <w:t>(Potential Range)</w:t>
            </w:r>
          </w:p>
        </w:tc>
        <w:tc>
          <w:tcPr>
            <w:tcW w:w="674"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(0-15)</w:t>
            </w:r>
          </w:p>
        </w:tc>
        <w:tc>
          <w:tcPr>
            <w:tcW w:w="683"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(0-15)</w:t>
            </w:r>
          </w:p>
        </w:tc>
        <w:tc>
          <w:tcPr>
            <w:tcW w:w="74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(0-15)</w:t>
            </w:r>
          </w:p>
        </w:tc>
        <w:tc>
          <w:tcPr>
            <w:tcW w:w="736"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(0-15)</w:t>
            </w:r>
          </w:p>
        </w:tc>
        <w:tc>
          <w:tcPr>
            <w:tcW w:w="697" w:type="pct"/>
            <w:gridSpan w:val="2"/>
            <w:shd w:val="clear" w:color="auto" w:fill="auto"/>
          </w:tcPr>
          <w:p w:rsidR="00FD5A43" w:rsidRPr="00FD5A43" w:rsidRDefault="00FD5A43" w:rsidP="00FD5A43">
            <w:pPr>
              <w:jc w:val="center"/>
              <w:cnfStyle w:val="000000100000" w:firstRow="0" w:lastRow="0" w:firstColumn="0" w:lastColumn="0" w:oddVBand="0" w:evenVBand="0" w:oddHBand="1" w:evenHBand="0" w:firstRowFirstColumn="0" w:firstRowLastColumn="0" w:lastRowFirstColumn="0" w:lastRowLastColumn="0"/>
            </w:pPr>
            <w:r w:rsidRPr="00FD5A43">
              <w:t>(0-15)</w:t>
            </w:r>
          </w:p>
        </w:tc>
      </w:tr>
      <w:tr w:rsidR="00FD5A43" w:rsidRPr="00FD5A43" w:rsidTr="00945627">
        <w:trPr>
          <w:gridAfter w:val="2"/>
          <w:wAfter w:w="38" w:type="pct"/>
        </w:trPr>
        <w:tc>
          <w:tcPr>
            <w:cnfStyle w:val="001000000000" w:firstRow="0" w:lastRow="0" w:firstColumn="1" w:lastColumn="0" w:oddVBand="0" w:evenVBand="0" w:oddHBand="0" w:evenHBand="0" w:firstRowFirstColumn="0" w:firstRowLastColumn="0" w:lastRowFirstColumn="0" w:lastRowLastColumn="0"/>
            <w:tcW w:w="1425" w:type="pct"/>
            <w:tcBorders>
              <w:bottom w:val="single" w:sz="4" w:space="0" w:color="auto"/>
            </w:tcBorders>
            <w:shd w:val="clear" w:color="auto" w:fill="auto"/>
          </w:tcPr>
          <w:p w:rsidR="00FD5A43" w:rsidRPr="00FD5A43" w:rsidRDefault="00FD5A43" w:rsidP="00FD5A43">
            <w:pPr>
              <w:jc w:val="right"/>
            </w:pPr>
            <w:r w:rsidRPr="00FD5A43">
              <w:t>(Actual Range)</w:t>
            </w:r>
          </w:p>
        </w:tc>
        <w:tc>
          <w:tcPr>
            <w:tcW w:w="674" w:type="pct"/>
            <w:gridSpan w:val="2"/>
            <w:tcBorders>
              <w:bottom w:val="single" w:sz="4" w:space="0" w:color="auto"/>
            </w:tcBorders>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(5-11)</w:t>
            </w:r>
          </w:p>
        </w:tc>
        <w:tc>
          <w:tcPr>
            <w:tcW w:w="683" w:type="pct"/>
            <w:gridSpan w:val="2"/>
            <w:tcBorders>
              <w:bottom w:val="single" w:sz="4" w:space="0" w:color="auto"/>
            </w:tcBorders>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(2-12)</w:t>
            </w:r>
          </w:p>
        </w:tc>
        <w:tc>
          <w:tcPr>
            <w:tcW w:w="746" w:type="pct"/>
            <w:gridSpan w:val="2"/>
            <w:tcBorders>
              <w:bottom w:val="single" w:sz="4" w:space="0" w:color="auto"/>
            </w:tcBorders>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(3-13)</w:t>
            </w:r>
          </w:p>
        </w:tc>
        <w:tc>
          <w:tcPr>
            <w:tcW w:w="736" w:type="pct"/>
            <w:gridSpan w:val="2"/>
            <w:tcBorders>
              <w:bottom w:val="single" w:sz="4" w:space="0" w:color="auto"/>
            </w:tcBorders>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(5-12)</w:t>
            </w:r>
          </w:p>
        </w:tc>
        <w:tc>
          <w:tcPr>
            <w:tcW w:w="697" w:type="pct"/>
            <w:gridSpan w:val="2"/>
            <w:tcBorders>
              <w:bottom w:val="single" w:sz="4" w:space="0" w:color="auto"/>
            </w:tcBorders>
            <w:shd w:val="clear" w:color="auto" w:fill="auto"/>
          </w:tcPr>
          <w:p w:rsidR="00FD5A43" w:rsidRPr="00FD5A43" w:rsidRDefault="00FD5A43" w:rsidP="00FD5A43">
            <w:pPr>
              <w:jc w:val="center"/>
              <w:cnfStyle w:val="000000000000" w:firstRow="0" w:lastRow="0" w:firstColumn="0" w:lastColumn="0" w:oddVBand="0" w:evenVBand="0" w:oddHBand="0" w:evenHBand="0" w:firstRowFirstColumn="0" w:firstRowLastColumn="0" w:lastRowFirstColumn="0" w:lastRowLastColumn="0"/>
            </w:pPr>
            <w:r w:rsidRPr="00FD5A43">
              <w:t>(5-10)</w:t>
            </w:r>
          </w:p>
        </w:tc>
      </w:tr>
    </w:tbl>
    <w:p w:rsidR="00FD5A43" w:rsidRPr="00FD5A43" w:rsidRDefault="00FD5A43" w:rsidP="00FD5A43">
      <w:pPr>
        <w:spacing w:after="120" w:line="264" w:lineRule="auto"/>
        <w:rPr>
          <w:rFonts w:eastAsiaTheme="minorEastAsia"/>
          <w:sz w:val="20"/>
          <w:szCs w:val="20"/>
        </w:rPr>
      </w:pPr>
    </w:p>
    <w:p w:rsidR="00FD5A43" w:rsidRPr="00FD5A43" w:rsidRDefault="00FD5A43" w:rsidP="00FD5A43">
      <w:pPr>
        <w:spacing w:after="120" w:line="264" w:lineRule="auto"/>
        <w:rPr>
          <w:rFonts w:eastAsiaTheme="minorEastAsia"/>
          <w:sz w:val="20"/>
          <w:szCs w:val="20"/>
        </w:rPr>
      </w:pPr>
    </w:p>
    <w:p w:rsidR="00FD5A43" w:rsidRPr="00FD5A43" w:rsidRDefault="00FD5A43" w:rsidP="00FD5A43">
      <w:pPr>
        <w:spacing w:after="120" w:line="240" w:lineRule="auto"/>
        <w:rPr>
          <w:rFonts w:ascii="Cambria" w:eastAsiaTheme="minorEastAsia" w:hAnsi="Cambria" w:cstheme="minorHAnsi"/>
          <w:sz w:val="24"/>
          <w:szCs w:val="24"/>
        </w:rPr>
      </w:pPr>
    </w:p>
    <w:p w:rsidR="00AF68B7" w:rsidRDefault="00AF68B7">
      <w:bookmarkStart w:id="1" w:name="_GoBack"/>
      <w:bookmarkEnd w:id="1"/>
    </w:p>
    <w:sectPr w:rsidR="00AF68B7" w:rsidSect="000665D0">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06176"/>
      <w:docPartObj>
        <w:docPartGallery w:val="Page Numbers (Bottom of Page)"/>
        <w:docPartUnique/>
      </w:docPartObj>
    </w:sdtPr>
    <w:sdtEndPr>
      <w:rPr>
        <w:noProof/>
      </w:rPr>
    </w:sdtEndPr>
    <w:sdtContent>
      <w:p w:rsidR="000772D0" w:rsidRDefault="00FD5A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772D0" w:rsidRDefault="00FD5A4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A66F8"/>
    <w:multiLevelType w:val="hybridMultilevel"/>
    <w:tmpl w:val="0EC4CA7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14A523C4"/>
    <w:multiLevelType w:val="hybridMultilevel"/>
    <w:tmpl w:val="814E1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17529"/>
    <w:multiLevelType w:val="hybridMultilevel"/>
    <w:tmpl w:val="0AF8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21C30"/>
    <w:multiLevelType w:val="hybridMultilevel"/>
    <w:tmpl w:val="491C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85628"/>
    <w:multiLevelType w:val="hybridMultilevel"/>
    <w:tmpl w:val="FA28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07F2B"/>
    <w:multiLevelType w:val="hybridMultilevel"/>
    <w:tmpl w:val="EF2E62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36E3EB2"/>
    <w:multiLevelType w:val="hybridMultilevel"/>
    <w:tmpl w:val="B9C4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F7B0A"/>
    <w:multiLevelType w:val="hybridMultilevel"/>
    <w:tmpl w:val="FE3012B0"/>
    <w:lvl w:ilvl="0" w:tplc="C926657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C5CF2"/>
    <w:multiLevelType w:val="hybridMultilevel"/>
    <w:tmpl w:val="EF0C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54474"/>
    <w:multiLevelType w:val="hybridMultilevel"/>
    <w:tmpl w:val="D1462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E0625"/>
    <w:multiLevelType w:val="hybridMultilevel"/>
    <w:tmpl w:val="F512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9"/>
  </w:num>
  <w:num w:numId="6">
    <w:abstractNumId w:val="4"/>
  </w:num>
  <w:num w:numId="7">
    <w:abstractNumId w:val="8"/>
  </w:num>
  <w:num w:numId="8">
    <w:abstractNumId w:val="7"/>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43"/>
    <w:rsid w:val="00376967"/>
    <w:rsid w:val="00AF68B7"/>
    <w:rsid w:val="00FC236F"/>
    <w:rsid w:val="00FD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08CEB-CD0B-42C0-8200-A4A3779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5A4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D5A4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D5A4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D5A43"/>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FD5A43"/>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FD5A43"/>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D5A43"/>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D5A43"/>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FD5A43"/>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A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D5A4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D5A4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D5A43"/>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FD5A43"/>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FD5A4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D5A4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D5A43"/>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FD5A43"/>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FD5A43"/>
  </w:style>
  <w:style w:type="table" w:styleId="TableGrid">
    <w:name w:val="Table Grid"/>
    <w:basedOn w:val="TableNormal"/>
    <w:uiPriority w:val="39"/>
    <w:rsid w:val="00FD5A43"/>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A43"/>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FD5A43"/>
    <w:rPr>
      <w:rFonts w:ascii="Segoe UI" w:eastAsiaTheme="minorEastAsia" w:hAnsi="Segoe UI" w:cs="Segoe UI"/>
      <w:sz w:val="18"/>
      <w:szCs w:val="18"/>
    </w:rPr>
  </w:style>
  <w:style w:type="paragraph" w:styleId="Header">
    <w:name w:val="header"/>
    <w:basedOn w:val="Normal"/>
    <w:link w:val="HeaderChar"/>
    <w:uiPriority w:val="99"/>
    <w:unhideWhenUsed/>
    <w:rsid w:val="00FD5A43"/>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FD5A43"/>
    <w:rPr>
      <w:rFonts w:eastAsiaTheme="minorEastAsia"/>
      <w:sz w:val="20"/>
      <w:szCs w:val="20"/>
    </w:rPr>
  </w:style>
  <w:style w:type="paragraph" w:styleId="Footer">
    <w:name w:val="footer"/>
    <w:basedOn w:val="Normal"/>
    <w:link w:val="FooterChar"/>
    <w:uiPriority w:val="99"/>
    <w:unhideWhenUsed/>
    <w:rsid w:val="00FD5A43"/>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FD5A43"/>
    <w:rPr>
      <w:rFonts w:eastAsiaTheme="minorEastAsia"/>
      <w:sz w:val="20"/>
      <w:szCs w:val="20"/>
    </w:rPr>
  </w:style>
  <w:style w:type="paragraph" w:styleId="ListParagraph">
    <w:name w:val="List Paragraph"/>
    <w:basedOn w:val="Normal"/>
    <w:uiPriority w:val="34"/>
    <w:qFormat/>
    <w:rsid w:val="00FD5A43"/>
    <w:pPr>
      <w:spacing w:after="120" w:line="264" w:lineRule="auto"/>
      <w:ind w:left="720"/>
      <w:contextualSpacing/>
    </w:pPr>
    <w:rPr>
      <w:rFonts w:eastAsiaTheme="minorEastAsia"/>
      <w:sz w:val="20"/>
      <w:szCs w:val="20"/>
    </w:rPr>
  </w:style>
  <w:style w:type="table" w:styleId="GridTable4-Accent1">
    <w:name w:val="Grid Table 4 Accent 1"/>
    <w:basedOn w:val="TableNormal"/>
    <w:uiPriority w:val="49"/>
    <w:rsid w:val="00FD5A43"/>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FD5A43"/>
    <w:rPr>
      <w:color w:val="0563C1" w:themeColor="hyperlink"/>
      <w:u w:val="single"/>
    </w:rPr>
  </w:style>
  <w:style w:type="character" w:styleId="CommentReference">
    <w:name w:val="annotation reference"/>
    <w:basedOn w:val="DefaultParagraphFont"/>
    <w:uiPriority w:val="99"/>
    <w:semiHidden/>
    <w:unhideWhenUsed/>
    <w:rsid w:val="00FD5A43"/>
    <w:rPr>
      <w:sz w:val="16"/>
      <w:szCs w:val="16"/>
    </w:rPr>
  </w:style>
  <w:style w:type="paragraph" w:styleId="CommentText">
    <w:name w:val="annotation text"/>
    <w:basedOn w:val="Normal"/>
    <w:link w:val="CommentTextChar"/>
    <w:uiPriority w:val="99"/>
    <w:semiHidden/>
    <w:unhideWhenUsed/>
    <w:rsid w:val="00FD5A43"/>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D5A4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D5A43"/>
    <w:rPr>
      <w:b/>
      <w:bCs/>
    </w:rPr>
  </w:style>
  <w:style w:type="character" w:customStyle="1" w:styleId="CommentSubjectChar">
    <w:name w:val="Comment Subject Char"/>
    <w:basedOn w:val="CommentTextChar"/>
    <w:link w:val="CommentSubject"/>
    <w:uiPriority w:val="99"/>
    <w:semiHidden/>
    <w:rsid w:val="00FD5A43"/>
    <w:rPr>
      <w:rFonts w:eastAsiaTheme="minorEastAsia"/>
      <w:b/>
      <w:bCs/>
      <w:sz w:val="20"/>
      <w:szCs w:val="20"/>
    </w:rPr>
  </w:style>
  <w:style w:type="table" w:styleId="PlainTable4">
    <w:name w:val="Plain Table 4"/>
    <w:basedOn w:val="TableNormal"/>
    <w:uiPriority w:val="44"/>
    <w:rsid w:val="00FD5A43"/>
    <w:pPr>
      <w:spacing w:after="0" w:line="240" w:lineRule="auto"/>
    </w:pPr>
    <w:rPr>
      <w:rFonts w:eastAsiaTheme="minorEastAsia"/>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A43"/>
    <w:pPr>
      <w:spacing w:after="0" w:line="240" w:lineRule="auto"/>
    </w:pPr>
    <w:rPr>
      <w:rFonts w:eastAsiaTheme="minorEastAsia"/>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neNumber">
    <w:name w:val="line number"/>
    <w:basedOn w:val="DefaultParagraphFont"/>
    <w:uiPriority w:val="99"/>
    <w:semiHidden/>
    <w:unhideWhenUsed/>
    <w:rsid w:val="00FD5A43"/>
  </w:style>
  <w:style w:type="character" w:styleId="FollowedHyperlink">
    <w:name w:val="FollowedHyperlink"/>
    <w:basedOn w:val="DefaultParagraphFont"/>
    <w:uiPriority w:val="99"/>
    <w:semiHidden/>
    <w:unhideWhenUsed/>
    <w:rsid w:val="00FD5A43"/>
    <w:rPr>
      <w:color w:val="954F72" w:themeColor="followedHyperlink"/>
      <w:u w:val="single"/>
    </w:rPr>
  </w:style>
  <w:style w:type="paragraph" w:customStyle="1" w:styleId="xxmsonormal">
    <w:name w:val="x_x_msonormal"/>
    <w:basedOn w:val="Normal"/>
    <w:rsid w:val="00FD5A4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FD5A43"/>
    <w:pPr>
      <w:spacing w:after="120" w:line="240" w:lineRule="auto"/>
    </w:pPr>
    <w:rPr>
      <w:rFonts w:eastAsiaTheme="minorEastAsia"/>
      <w:b/>
      <w:bCs/>
      <w:smallCaps/>
      <w:color w:val="595959" w:themeColor="text1" w:themeTint="A6"/>
      <w:spacing w:val="6"/>
      <w:sz w:val="20"/>
      <w:szCs w:val="20"/>
    </w:rPr>
  </w:style>
  <w:style w:type="paragraph" w:styleId="Title">
    <w:name w:val="Title"/>
    <w:basedOn w:val="Normal"/>
    <w:next w:val="Normal"/>
    <w:link w:val="TitleChar"/>
    <w:uiPriority w:val="10"/>
    <w:qFormat/>
    <w:rsid w:val="00FD5A4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D5A4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D5A43"/>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5A43"/>
    <w:rPr>
      <w:rFonts w:asciiTheme="majorHAnsi" w:eastAsiaTheme="majorEastAsia" w:hAnsiTheme="majorHAnsi" w:cstheme="majorBidi"/>
      <w:sz w:val="24"/>
      <w:szCs w:val="24"/>
    </w:rPr>
  </w:style>
  <w:style w:type="character" w:styleId="Strong">
    <w:name w:val="Strong"/>
    <w:basedOn w:val="DefaultParagraphFont"/>
    <w:uiPriority w:val="22"/>
    <w:qFormat/>
    <w:rsid w:val="00FD5A43"/>
    <w:rPr>
      <w:b/>
      <w:bCs/>
    </w:rPr>
  </w:style>
  <w:style w:type="character" w:styleId="Emphasis">
    <w:name w:val="Emphasis"/>
    <w:basedOn w:val="DefaultParagraphFont"/>
    <w:uiPriority w:val="20"/>
    <w:qFormat/>
    <w:rsid w:val="00FD5A43"/>
    <w:rPr>
      <w:i/>
      <w:iCs/>
    </w:rPr>
  </w:style>
  <w:style w:type="paragraph" w:styleId="NoSpacing">
    <w:name w:val="No Spacing"/>
    <w:uiPriority w:val="1"/>
    <w:qFormat/>
    <w:rsid w:val="00FD5A43"/>
    <w:pPr>
      <w:spacing w:after="0" w:line="240" w:lineRule="auto"/>
    </w:pPr>
    <w:rPr>
      <w:rFonts w:eastAsiaTheme="minorEastAsia"/>
      <w:sz w:val="20"/>
      <w:szCs w:val="20"/>
    </w:rPr>
  </w:style>
  <w:style w:type="paragraph" w:styleId="Quote">
    <w:name w:val="Quote"/>
    <w:basedOn w:val="Normal"/>
    <w:next w:val="Normal"/>
    <w:link w:val="QuoteChar"/>
    <w:uiPriority w:val="29"/>
    <w:qFormat/>
    <w:rsid w:val="00FD5A43"/>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FD5A43"/>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FD5A43"/>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D5A4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D5A43"/>
    <w:rPr>
      <w:i/>
      <w:iCs/>
      <w:color w:val="404040" w:themeColor="text1" w:themeTint="BF"/>
    </w:rPr>
  </w:style>
  <w:style w:type="character" w:styleId="IntenseEmphasis">
    <w:name w:val="Intense Emphasis"/>
    <w:basedOn w:val="DefaultParagraphFont"/>
    <w:uiPriority w:val="21"/>
    <w:qFormat/>
    <w:rsid w:val="00FD5A43"/>
    <w:rPr>
      <w:b/>
      <w:bCs/>
      <w:i/>
      <w:iCs/>
    </w:rPr>
  </w:style>
  <w:style w:type="character" w:styleId="SubtleReference">
    <w:name w:val="Subtle Reference"/>
    <w:basedOn w:val="DefaultParagraphFont"/>
    <w:uiPriority w:val="31"/>
    <w:qFormat/>
    <w:rsid w:val="00FD5A4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D5A43"/>
    <w:rPr>
      <w:b/>
      <w:bCs/>
      <w:smallCaps/>
      <w:spacing w:val="5"/>
      <w:u w:val="single"/>
    </w:rPr>
  </w:style>
  <w:style w:type="character" w:styleId="BookTitle">
    <w:name w:val="Book Title"/>
    <w:basedOn w:val="DefaultParagraphFont"/>
    <w:uiPriority w:val="33"/>
    <w:qFormat/>
    <w:rsid w:val="00FD5A43"/>
    <w:rPr>
      <w:b/>
      <w:bCs/>
      <w:smallCaps/>
    </w:rPr>
  </w:style>
  <w:style w:type="paragraph" w:styleId="TOCHeading">
    <w:name w:val="TOC Heading"/>
    <w:basedOn w:val="Heading1"/>
    <w:next w:val="Normal"/>
    <w:uiPriority w:val="39"/>
    <w:semiHidden/>
    <w:unhideWhenUsed/>
    <w:qFormat/>
    <w:rsid w:val="00FD5A43"/>
    <w:pPr>
      <w:outlineLvl w:val="9"/>
    </w:pPr>
  </w:style>
  <w:style w:type="paragraph" w:styleId="NormalWeb">
    <w:name w:val="Normal (Web)"/>
    <w:basedOn w:val="Normal"/>
    <w:uiPriority w:val="99"/>
    <w:semiHidden/>
    <w:unhideWhenUsed/>
    <w:rsid w:val="00FD5A4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8377</Words>
  <Characters>47753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Timothy P</dc:creator>
  <cp:keywords/>
  <dc:description/>
  <cp:lastModifiedBy>Johnson, Timothy P</cp:lastModifiedBy>
  <cp:revision>1</cp:revision>
  <dcterms:created xsi:type="dcterms:W3CDTF">2020-01-22T21:19:00Z</dcterms:created>
  <dcterms:modified xsi:type="dcterms:W3CDTF">2020-01-22T21:19:00Z</dcterms:modified>
</cp:coreProperties>
</file>